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600" w:lineRule="exact"/>
        <w:ind w:firstLine="601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大姚县2022年政府采购支出及</w:t>
      </w:r>
    </w:p>
    <w:p>
      <w:pPr>
        <w:widowControl/>
        <w:shd w:val="clear" w:color="auto" w:fill="FFFFFF"/>
        <w:wordWrap w:val="0"/>
        <w:spacing w:line="600" w:lineRule="exact"/>
        <w:ind w:firstLine="601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国有资产占用情况说明</w:t>
      </w:r>
    </w:p>
    <w:p>
      <w:pPr>
        <w:spacing w:line="590" w:lineRule="exact"/>
        <w:ind w:firstLine="600"/>
        <w:jc w:val="left"/>
        <w:rPr>
          <w:rFonts w:eastAsia="Times New Roman"/>
          <w:sz w:val="30"/>
          <w:szCs w:val="24"/>
        </w:rPr>
      </w:pPr>
      <w:r>
        <w:rPr>
          <w:rFonts w:hint="eastAsia" w:ascii="黑体" w:hAnsi="黑体" w:eastAsia="黑体"/>
          <w:sz w:val="32"/>
          <w:szCs w:val="32"/>
        </w:rPr>
        <w:t>一、政府采购支出情况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年度，大姚县政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府采购支出总额7846.73万元，较上年2049.02万元增加5797.71万元，增长282.95%。其中：政府采购货物支出5498.29万元，较上年1937.02万元增加3561.27万元，增长183.85%；政府采购工程支出0万元,较上年0万减少0万元；政府采购服务支出2348.44万元，较上年112万元增加2236.44万元，增长,1996.82%。授予中小企业合同金额7713.68万元，较上年772.65万元增加6941.03万元，增长898.34%，占政府采购支出总额的98.3%，其中：授予小微企业合同金额7713.32万元，较上年273.64万元增加7439.68万元，增长96.45%。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度，大姚县政府采购支出总额增长幅度较大的主要原因：一是随着政府采购系统上线，平台采购规模迅速增长，采购范围不断扩大，采购效率日益提高，电子系统以稳健、高效、便捷、安全的优点，按同个产品、同个项目单向金额不超过20万元，一年内不超过200万元，采取电子卖场的方式进行集中采购；二是我县加大对政府采购的监管力度，在招标时以最优价格中标，节约了项目采购成本；三是新增采购金额5464.76万元，分别是大姚县2022-2023学年学生食堂粮油采购3756万元，大姚县人民医院信息系统升级改造采购项目738.7万元，大姚县人力资源和社会保障局2022年职业技能培训机构采购项目548.00万元，大姚县应急广播体系建设项目422.06万元。</w:t>
      </w:r>
    </w:p>
    <w:p>
      <w:pPr>
        <w:spacing w:line="590" w:lineRule="exact"/>
        <w:ind w:firstLine="640" w:firstLineChars="200"/>
        <w:jc w:val="left"/>
        <w:rPr>
          <w:rFonts w:eastAsia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202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年，全县固定资产155,893.81万元，较上年153,607.71万元增加2286.1万元，增长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1.49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%。其中：房屋873,560.80平方米，金额89,267.83万元，较上年同期88,801.95万元增加465.88万元，增长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0.52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%。车辆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254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辆，金额5,381.15万元，较上年同期减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少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44.01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万元，下降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0.81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%，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  <w:highlight w:val="none"/>
        </w:rPr>
        <w:t>单价100万元（含）以上的专用设备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  <w:highlight w:val="none"/>
        </w:rPr>
        <w:t>套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。固定资产累计折旧75,324.75万元，较上年69,102.54元增加6222.21万元，增长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%；房屋在建工程40,239.33万元，较上年23,652.32万元增加16587.01万元，增长</w:t>
      </w:r>
      <w:r>
        <w:rPr>
          <w:rFonts w:hint="eastAsia" w:eastAsia="方正仿宋简体" w:cs="Times New Roman"/>
          <w:color w:val="333333"/>
          <w:kern w:val="0"/>
          <w:sz w:val="32"/>
          <w:szCs w:val="32"/>
          <w:lang w:val="en-US" w:eastAsia="zh-CN"/>
        </w:rPr>
        <w:t>70.13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附：国有资产占有使用情况表</w:t>
      </w:r>
    </w:p>
    <w:p>
      <w:pPr>
        <w:jc w:val="center"/>
        <w:rPr>
          <w:rFonts w:ascii="宋体" w:hAnsi="宋体" w:eastAsia="仿宋_GB2312" w:cs="方正小标宋_GBK"/>
          <w:b/>
          <w:color w:val="000000"/>
          <w:kern w:val="0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</w:rPr>
        <w:t>国有资产占有使用情况表</w:t>
      </w:r>
    </w:p>
    <w:p>
      <w:pPr>
        <w:jc w:val="right"/>
        <w:rPr>
          <w:rFonts w:ascii="宋体" w:hAnsi="宋体" w:eastAsia="仿宋_GB2312"/>
          <w:spacing w:val="-6"/>
          <w:sz w:val="22"/>
          <w:szCs w:val="24"/>
        </w:rPr>
      </w:pPr>
      <w:r>
        <w:rPr>
          <w:rFonts w:hint="eastAsia" w:ascii="宋体" w:hAnsi="宋体" w:eastAsia="方正仿宋_GBK"/>
          <w:sz w:val="22"/>
          <w:szCs w:val="24"/>
        </w:rPr>
        <w:t>单位：万元</w:t>
      </w:r>
    </w:p>
    <w:tbl>
      <w:tblPr>
        <w:tblStyle w:val="8"/>
        <w:tblW w:w="7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524"/>
        <w:gridCol w:w="1327"/>
        <w:gridCol w:w="1051"/>
        <w:gridCol w:w="765"/>
        <w:gridCol w:w="600"/>
        <w:gridCol w:w="862"/>
        <w:gridCol w:w="89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项目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行次</w:t>
            </w:r>
          </w:p>
        </w:tc>
        <w:tc>
          <w:tcPr>
            <w:tcW w:w="4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固定资产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pacing w:val="-10"/>
                <w:sz w:val="24"/>
                <w:szCs w:val="24"/>
              </w:rPr>
              <w:t>对外投资/有价证券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在建工程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小计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房屋构筑物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车辆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2" w:leftChars="1"/>
              <w:jc w:val="center"/>
              <w:rPr>
                <w:rFonts w:ascii="宋体" w:hAnsi="宋体" w:eastAsia="方正仿宋_GBK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pacing w:val="-10"/>
                <w:sz w:val="24"/>
                <w:szCs w:val="24"/>
              </w:rPr>
              <w:t>单价200万以上大型设备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其他固定资产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栏次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合计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/>
                <w:spacing w:val="-20"/>
                <w:sz w:val="20"/>
                <w:szCs w:val="20"/>
                <w:lang w:val="en-US" w:eastAsia="zh-CN"/>
              </w:rPr>
              <w:t>155893.81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/>
                <w:spacing w:val="-20"/>
                <w:sz w:val="20"/>
                <w:szCs w:val="20"/>
                <w:lang w:val="en-US" w:eastAsia="zh-CN"/>
              </w:rPr>
              <w:t>89267.83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/>
                <w:spacing w:val="-20"/>
                <w:sz w:val="20"/>
                <w:szCs w:val="20"/>
                <w:lang w:val="en-US" w:eastAsia="zh-CN"/>
              </w:rPr>
              <w:t>5381.15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eastAsia="方正仿宋_GBK"/>
                <w:spacing w:val="-2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/>
                <w:spacing w:val="-20"/>
                <w:sz w:val="20"/>
                <w:szCs w:val="20"/>
                <w:lang w:val="en-US" w:eastAsia="zh-CN"/>
              </w:rPr>
              <w:t>61244.83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/>
                <w:sz w:val="20"/>
                <w:szCs w:val="20"/>
              </w:rPr>
            </w:pPr>
            <w:r>
              <w:rPr>
                <w:rFonts w:hint="eastAsia" w:ascii="宋体" w:hAnsi="宋体" w:eastAsia="方正仿宋_GBK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0"/>
                <w:szCs w:val="20"/>
                <w:lang w:val="en-US" w:eastAsia="zh-CN"/>
              </w:rPr>
              <w:t>40239.33</w:t>
            </w:r>
          </w:p>
        </w:tc>
      </w:tr>
    </w:tbl>
    <w:p>
      <w:pPr>
        <w:ind w:firstLine="1500" w:firstLineChars="500"/>
        <w:rPr>
          <w:rFonts w:ascii="宋体" w:hAnsi="宋体" w:eastAsia="方正黑体_GBK"/>
          <w:sz w:val="30"/>
          <w:szCs w:val="24"/>
        </w:rPr>
      </w:pPr>
    </w:p>
    <w:p>
      <w:pPr>
        <w:spacing w:line="590" w:lineRule="exact"/>
        <w:ind w:firstLine="600"/>
        <w:jc w:val="left"/>
        <w:rPr>
          <w:rFonts w:ascii="仿宋" w:hAnsi="仿宋" w:eastAsia="仿宋"/>
          <w:sz w:val="30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Y1YjNkYzEyYzk0ZmVlNmY0ZGRjOWYwMWY4ZTUwNDcifQ=="/>
  </w:docVars>
  <w:rsids>
    <w:rsidRoot w:val="1F290922"/>
    <w:rsid w:val="000134AB"/>
    <w:rsid w:val="00027267"/>
    <w:rsid w:val="0011054F"/>
    <w:rsid w:val="00180CDD"/>
    <w:rsid w:val="00412AF3"/>
    <w:rsid w:val="006F6062"/>
    <w:rsid w:val="009809B8"/>
    <w:rsid w:val="00A463A5"/>
    <w:rsid w:val="00EC388C"/>
    <w:rsid w:val="00EE4EB5"/>
    <w:rsid w:val="00F923A0"/>
    <w:rsid w:val="00FB469D"/>
    <w:rsid w:val="0C3216CE"/>
    <w:rsid w:val="0CB25D42"/>
    <w:rsid w:val="1C090207"/>
    <w:rsid w:val="1CA11B37"/>
    <w:rsid w:val="1D7A4E8E"/>
    <w:rsid w:val="1F290922"/>
    <w:rsid w:val="24C7549A"/>
    <w:rsid w:val="2A7B444B"/>
    <w:rsid w:val="2C730B1F"/>
    <w:rsid w:val="34C325D9"/>
    <w:rsid w:val="3BAE4882"/>
    <w:rsid w:val="45556059"/>
    <w:rsid w:val="47243B80"/>
    <w:rsid w:val="4BD82E59"/>
    <w:rsid w:val="4D7378DD"/>
    <w:rsid w:val="4DD71DFE"/>
    <w:rsid w:val="501D0113"/>
    <w:rsid w:val="50AF465E"/>
    <w:rsid w:val="54A02535"/>
    <w:rsid w:val="55B14731"/>
    <w:rsid w:val="6BD037A2"/>
    <w:rsid w:val="6E222A4C"/>
    <w:rsid w:val="7EC56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3"/>
    <w:next w:val="1"/>
    <w:unhideWhenUsed/>
    <w:qFormat/>
    <w:uiPriority w:val="0"/>
  </w:style>
  <w:style w:type="paragraph" w:styleId="3">
    <w:name w:val="Body Text First Indent"/>
    <w:basedOn w:val="4"/>
    <w:unhideWhenUsed/>
    <w:qFormat/>
    <w:uiPriority w:val="0"/>
    <w:pPr>
      <w:ind w:firstLine="420" w:firstLineChars="100"/>
    </w:pPr>
  </w:style>
  <w:style w:type="paragraph" w:styleId="4">
    <w:name w:val="Body Text"/>
    <w:basedOn w:val="1"/>
    <w:next w:val="5"/>
    <w:unhideWhenUsed/>
    <w:qFormat/>
    <w:uiPriority w:val="0"/>
    <w:pPr>
      <w:spacing w:beforeLines="30"/>
    </w:pPr>
    <w:rPr>
      <w:rFonts w:hint="eastAsia" w:ascii="仿宋_GB2312" w:eastAsia="仿宋_GB2312"/>
      <w:sz w:val="30"/>
      <w:szCs w:val="24"/>
    </w:rPr>
  </w:style>
  <w:style w:type="paragraph" w:styleId="5">
    <w:name w:val="toc 5"/>
    <w:basedOn w:val="1"/>
    <w:next w:val="1"/>
    <w:unhideWhenUsed/>
    <w:qFormat/>
    <w:uiPriority w:val="0"/>
    <w:pPr>
      <w:ind w:left="1680" w:leftChars="800"/>
    </w:pPr>
    <w:rPr>
      <w:szCs w:val="24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175</Words>
  <Characters>1001</Characters>
  <Lines>8</Lines>
  <Paragraphs>2</Paragraphs>
  <TotalTime>186</TotalTime>
  <ScaleCrop>false</ScaleCrop>
  <LinksUpToDate>false</LinksUpToDate>
  <CharactersWithSpaces>1174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2023-09-18T07:53:00Z</dcterms:created>
  <dc:creator>Administrator</dc:creator>
  <cp:lastModifiedBy>周奇武</cp:lastModifiedBy>
  <dcterms:modified xsi:type="dcterms:W3CDTF">2023-09-22T06:53:10Z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2A386A541C4D4BD6BD87C0FC1AF65704</vt:lpwstr>
  </property>
</Properties>
</file>