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59264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52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widowControl/>
        <w:suppressLineNumbers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激发潜能 优化配置 “县管校聘”谱新篇</w:t>
      </w:r>
    </w:p>
    <w:bookmarkEnd w:id="0"/>
    <w:p>
      <w:pPr>
        <w:pStyle w:val="2"/>
        <w:spacing w:line="240" w:lineRule="auto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——赵家店镇中心学校全面落实“县管校聘”工作简报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为进一步激发教师潜能，优化教师资源配置，全面提升区域教育质量，8月25日，赵家店镇中心学校召开了“县管校聘”工作动员会。会上，全镇教职工深刻理解了“县管校聘”工作内涵，认清当前形势，以良好的心态，更加昂扬的斗志积极配合学校工作，使体制改革得以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通过“县管校聘”激发和调动了广大教职工的内生动力，使广大教职工认识到在教学理念上需要转变观念，精学深研，具备教研的穿透力和教学的续航力；在教学方法上需要因材施教，激发学生个性，训练学生优越的思维模式；在学生培养上需要以德为先，注重学生整体素质提升，培养合格的社会人才。以此，促进学校教育教学质量快速提升，最终达到让家长满意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各学校也在对教师的工作岗位上下足功夫，对学科岗位做了科学安排，在充分考虑学校实际的基础上，通过学科配置，最大限度的地发挥每位教师的特长，让学校在思政教育、教学质量、办学特色、习惯培养等方面有了极大的提高。同时，学校尊重教师的特长竞聘上岗，激发了教职工的工作热情，充分调动教职工的工作积极性，使学校的管理更加人性化，科学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“县管校聘”打破了教师交流轮岗的管理体制障碍，在既定的区域内实现师资均衡配置，大家竞聘上岗，既增强了教师队伍的活力，挖掘出教师个人潜能，又为学校提高教育教学质量，推进学校办学水平提升注入强劲动力。</w:t>
      </w:r>
    </w:p>
    <w:p>
      <w:pPr>
        <w:pStyle w:val="2"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90805</wp:posOffset>
            </wp:positionV>
            <wp:extent cx="5857875" cy="3782060"/>
            <wp:effectExtent l="0" t="0" r="9525" b="889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17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（图为赵家店中心学校召开“县管校聘”动员会）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center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131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赵家店中心学校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028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36323DB"/>
    <w:rsid w:val="0B7D356E"/>
    <w:rsid w:val="0BA43C70"/>
    <w:rsid w:val="0DC94487"/>
    <w:rsid w:val="0E883DFC"/>
    <w:rsid w:val="12BD72ED"/>
    <w:rsid w:val="13B241EF"/>
    <w:rsid w:val="16E765E9"/>
    <w:rsid w:val="18466EEA"/>
    <w:rsid w:val="1A3F0DBE"/>
    <w:rsid w:val="1B6E295B"/>
    <w:rsid w:val="1EA27899"/>
    <w:rsid w:val="204B4CB2"/>
    <w:rsid w:val="22910A90"/>
    <w:rsid w:val="233C1888"/>
    <w:rsid w:val="25983569"/>
    <w:rsid w:val="26B210E6"/>
    <w:rsid w:val="273A0516"/>
    <w:rsid w:val="2A994ED0"/>
    <w:rsid w:val="2B8667EE"/>
    <w:rsid w:val="30B541D7"/>
    <w:rsid w:val="332A6396"/>
    <w:rsid w:val="33BB54DD"/>
    <w:rsid w:val="35735D1D"/>
    <w:rsid w:val="35C476A5"/>
    <w:rsid w:val="365034A9"/>
    <w:rsid w:val="39534CEB"/>
    <w:rsid w:val="3A4C055D"/>
    <w:rsid w:val="3C7B0373"/>
    <w:rsid w:val="3CCC02F0"/>
    <w:rsid w:val="3D2250C6"/>
    <w:rsid w:val="3DA02357"/>
    <w:rsid w:val="3DCD65AF"/>
    <w:rsid w:val="3EFC7493"/>
    <w:rsid w:val="40431CE4"/>
    <w:rsid w:val="412D6CCD"/>
    <w:rsid w:val="4A953675"/>
    <w:rsid w:val="4ABB3849"/>
    <w:rsid w:val="4F823E63"/>
    <w:rsid w:val="5007296D"/>
    <w:rsid w:val="525A670F"/>
    <w:rsid w:val="53E05E4B"/>
    <w:rsid w:val="55B337D3"/>
    <w:rsid w:val="585D783E"/>
    <w:rsid w:val="5C3517FB"/>
    <w:rsid w:val="5E3C21E0"/>
    <w:rsid w:val="5FF95C41"/>
    <w:rsid w:val="605E7315"/>
    <w:rsid w:val="620A5B84"/>
    <w:rsid w:val="640860C9"/>
    <w:rsid w:val="643D76F4"/>
    <w:rsid w:val="684143A4"/>
    <w:rsid w:val="7086735D"/>
    <w:rsid w:val="72201123"/>
    <w:rsid w:val="73CB071D"/>
    <w:rsid w:val="750909E7"/>
    <w:rsid w:val="76BB67F4"/>
    <w:rsid w:val="79E2612E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2021-09-03T09:31:05Z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DDF87A0A1C8347469F3F0796B4737032</vt:lpwstr>
  </property>
</Properties>
</file>