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right"/>
        <w:rPr>
          <w:rFonts w:ascii="楷体" w:hAnsi="楷体" w:eastAsia="楷体" w:cs="楷体"/>
          <w:color w:val="auto"/>
          <w:sz w:val="32"/>
          <w:szCs w:val="32"/>
          <w:highlight w:val="none"/>
        </w:rPr>
      </w:pPr>
    </w:p>
    <w:p>
      <w:pPr>
        <w:pStyle w:val="12"/>
        <w:ind w:firstLine="640"/>
        <w:rPr>
          <w:rFonts w:ascii="楷体" w:hAnsi="楷体" w:eastAsia="楷体" w:cs="楷体"/>
          <w:color w:val="auto"/>
          <w:sz w:val="32"/>
          <w:szCs w:val="32"/>
          <w:highlight w:val="none"/>
          <w:lang w:eastAsia="zh-CN"/>
        </w:rPr>
      </w:pPr>
    </w:p>
    <w:p>
      <w:pPr>
        <w:rPr>
          <w:color w:val="auto"/>
          <w:highlight w:val="none"/>
        </w:rPr>
      </w:pPr>
    </w:p>
    <w:p>
      <w:pPr>
        <w:rPr>
          <w:rFonts w:ascii="方正小标宋简体" w:eastAsia="方正小标宋简体"/>
          <w:color w:val="auto"/>
          <w:sz w:val="44"/>
          <w:szCs w:val="44"/>
          <w:highlight w:val="none"/>
        </w:rPr>
      </w:pPr>
    </w:p>
    <w:p>
      <w:pPr>
        <w:pStyle w:val="15"/>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_GBK" w:hAnsi="方正小标宋_GBK" w:eastAsia="方正小标宋_GBK" w:cs="方正小标宋_GBK"/>
          <w:color w:val="auto"/>
          <w:kern w:val="2"/>
          <w:sz w:val="44"/>
          <w:szCs w:val="44"/>
          <w:highlight w:val="none"/>
          <w:lang w:val="en-US" w:eastAsia="zh-CN"/>
        </w:rPr>
      </w:pPr>
      <w:bookmarkStart w:id="0" w:name="_Toc11070"/>
      <w:r>
        <w:rPr>
          <w:rFonts w:hint="eastAsia" w:ascii="方正小标宋_GBK" w:hAnsi="方正小标宋_GBK" w:eastAsia="方正小标宋_GBK" w:cs="方正小标宋_GBK"/>
          <w:color w:val="auto"/>
          <w:kern w:val="2"/>
          <w:sz w:val="44"/>
          <w:szCs w:val="44"/>
          <w:highlight w:val="none"/>
          <w:lang w:val="en-US" w:eastAsia="zh-CN"/>
        </w:rPr>
        <w:t>大姚县国土空间总体规划</w:t>
      </w:r>
      <w:bookmarkEnd w:id="0"/>
    </w:p>
    <w:p>
      <w:pPr>
        <w:pStyle w:val="15"/>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_GBK" w:hAnsi="方正小标宋_GBK" w:eastAsia="方正小标宋_GBK" w:cs="方正小标宋_GBK"/>
          <w:color w:val="auto"/>
          <w:kern w:val="2"/>
          <w:sz w:val="44"/>
          <w:szCs w:val="44"/>
          <w:highlight w:val="none"/>
          <w:lang w:val="en-US" w:eastAsia="zh-CN"/>
        </w:rPr>
      </w:pPr>
      <w:r>
        <w:rPr>
          <w:rFonts w:hint="eastAsia" w:ascii="方正小标宋_GBK" w:hAnsi="方正小标宋_GBK" w:eastAsia="方正小标宋_GBK" w:cs="方正小标宋_GBK"/>
          <w:color w:val="auto"/>
          <w:kern w:val="2"/>
          <w:sz w:val="44"/>
          <w:szCs w:val="44"/>
          <w:highlight w:val="none"/>
          <w:lang w:val="en-US" w:eastAsia="zh-CN"/>
        </w:rPr>
        <w:t>（</w:t>
      </w:r>
      <w:r>
        <w:rPr>
          <w:rFonts w:hint="eastAsia" w:ascii="方正小标宋_GBK" w:hAnsi="方正小标宋_GBK" w:eastAsia="方正小标宋_GBK" w:cs="方正小标宋_GBK"/>
          <w:color w:val="auto"/>
          <w:sz w:val="44"/>
          <w:szCs w:val="44"/>
          <w:highlight w:val="none"/>
          <w:lang w:val="en-US" w:eastAsia="zh-CN"/>
        </w:rPr>
        <w:t>2021—2035</w:t>
      </w:r>
      <w:r>
        <w:rPr>
          <w:rFonts w:hint="eastAsia" w:ascii="方正小标宋_GBK" w:hAnsi="方正小标宋_GBK" w:eastAsia="方正小标宋_GBK" w:cs="方正小标宋_GBK"/>
          <w:color w:val="auto"/>
          <w:kern w:val="2"/>
          <w:sz w:val="44"/>
          <w:szCs w:val="44"/>
          <w:highlight w:val="none"/>
          <w:lang w:val="en-US" w:eastAsia="zh-CN"/>
        </w:rPr>
        <w:t>年）</w:t>
      </w:r>
    </w:p>
    <w:p>
      <w:pPr>
        <w:pStyle w:val="15"/>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黑体" w:hAnsi="黑体" w:eastAsia="黑体" w:cs="黑体"/>
          <w:b w:val="0"/>
          <w:bCs w:val="0"/>
          <w:color w:val="auto"/>
          <w:sz w:val="40"/>
          <w:szCs w:val="40"/>
          <w:highlight w:val="none"/>
          <w:lang w:val="en-US" w:eastAsia="zh-CN"/>
        </w:rPr>
      </w:pPr>
      <w:r>
        <w:rPr>
          <w:rFonts w:hint="eastAsia" w:ascii="方正小标宋_GBK" w:hAnsi="方正小标宋_GBK" w:eastAsia="方正小标宋_GBK" w:cs="方正小标宋_GBK"/>
          <w:color w:val="auto"/>
          <w:sz w:val="44"/>
          <w:szCs w:val="44"/>
          <w:highlight w:val="none"/>
          <w:lang w:val="en-US" w:eastAsia="zh-CN"/>
        </w:rPr>
        <w:t>文本</w:t>
      </w:r>
    </w:p>
    <w:p>
      <w:pPr>
        <w:pStyle w:val="12"/>
        <w:ind w:firstLine="560"/>
        <w:rPr>
          <w:color w:val="auto"/>
          <w:highlight w:val="none"/>
          <w:lang w:eastAsia="zh-CN"/>
        </w:rPr>
      </w:pPr>
    </w:p>
    <w:p>
      <w:pPr>
        <w:pStyle w:val="12"/>
        <w:ind w:firstLine="560"/>
        <w:rPr>
          <w:color w:val="auto"/>
          <w:highlight w:val="none"/>
          <w:lang w:eastAsia="zh-CN"/>
        </w:rPr>
      </w:pPr>
    </w:p>
    <w:p>
      <w:pPr>
        <w:pStyle w:val="12"/>
        <w:ind w:firstLine="560"/>
        <w:rPr>
          <w:color w:val="auto"/>
          <w:highlight w:val="none"/>
          <w:lang w:eastAsia="zh-CN"/>
        </w:rPr>
      </w:pPr>
    </w:p>
    <w:p>
      <w:pPr>
        <w:pStyle w:val="12"/>
        <w:ind w:firstLine="560"/>
        <w:rPr>
          <w:color w:val="auto"/>
          <w:highlight w:val="none"/>
          <w:lang w:eastAsia="zh-CN"/>
        </w:rPr>
      </w:pPr>
    </w:p>
    <w:p>
      <w:pPr>
        <w:pStyle w:val="12"/>
        <w:ind w:firstLine="560"/>
        <w:rPr>
          <w:color w:val="auto"/>
          <w:highlight w:val="none"/>
          <w:lang w:eastAsia="zh-CN"/>
        </w:rPr>
      </w:pPr>
    </w:p>
    <w:p>
      <w:pPr>
        <w:rPr>
          <w:color w:val="auto"/>
          <w:highlight w:val="none"/>
          <w:lang w:eastAsia="zh-CN"/>
        </w:rPr>
      </w:pPr>
    </w:p>
    <w:p>
      <w:pPr>
        <w:rPr>
          <w:color w:val="auto"/>
          <w:highlight w:val="none"/>
          <w:lang w:eastAsia="zh-CN"/>
        </w:rPr>
      </w:pPr>
    </w:p>
    <w:p>
      <w:pPr>
        <w:rPr>
          <w:color w:val="auto"/>
          <w:highlight w:val="none"/>
          <w:lang w:eastAsia="zh-CN"/>
        </w:rPr>
      </w:pPr>
    </w:p>
    <w:p>
      <w:pPr>
        <w:rPr>
          <w:color w:val="auto"/>
          <w:highlight w:val="none"/>
          <w:lang w:eastAsia="zh-CN"/>
        </w:rPr>
      </w:pPr>
    </w:p>
    <w:p>
      <w:pPr>
        <w:pStyle w:val="12"/>
        <w:ind w:firstLine="560"/>
        <w:rPr>
          <w:color w:val="auto"/>
          <w:highlight w:val="none"/>
          <w:lang w:eastAsia="zh-CN"/>
        </w:rPr>
      </w:pPr>
    </w:p>
    <w:p>
      <w:pPr>
        <w:pStyle w:val="12"/>
        <w:ind w:firstLine="560"/>
        <w:rPr>
          <w:color w:val="auto"/>
          <w:highlight w:val="none"/>
          <w:lang w:eastAsia="zh-CN"/>
        </w:rPr>
      </w:pPr>
    </w:p>
    <w:p>
      <w:pPr>
        <w:pStyle w:val="15"/>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_GBK" w:hAnsi="方正小标宋_GBK" w:eastAsia="方正小标宋_GBK" w:cs="方正小标宋_GBK"/>
          <w:color w:val="auto"/>
          <w:kern w:val="2"/>
          <w:sz w:val="32"/>
          <w:szCs w:val="32"/>
          <w:highlight w:val="none"/>
          <w:lang w:val="en-US" w:eastAsia="zh-CN"/>
        </w:rPr>
      </w:pPr>
      <w:r>
        <w:rPr>
          <w:rFonts w:hint="eastAsia" w:ascii="方正小标宋_GBK" w:hAnsi="方正小标宋_GBK" w:eastAsia="方正小标宋_GBK" w:cs="方正小标宋_GBK"/>
          <w:color w:val="auto"/>
          <w:kern w:val="2"/>
          <w:sz w:val="32"/>
          <w:szCs w:val="32"/>
          <w:highlight w:val="none"/>
          <w:lang w:val="en-US" w:eastAsia="zh-CN"/>
        </w:rPr>
        <w:t>大姚县人民政府</w:t>
      </w:r>
    </w:p>
    <w:p>
      <w:pPr>
        <w:pStyle w:val="15"/>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_GBK" w:hAnsi="方正小标宋_GBK" w:eastAsia="方正小标宋_GBK" w:cs="方正小标宋_GBK"/>
          <w:color w:val="auto"/>
          <w:kern w:val="2"/>
          <w:sz w:val="32"/>
          <w:szCs w:val="32"/>
          <w:highlight w:val="none"/>
          <w:lang w:val="en-US" w:eastAsia="zh-CN"/>
        </w:rPr>
      </w:pPr>
      <w:r>
        <w:rPr>
          <w:rFonts w:hint="eastAsia" w:ascii="方正小标宋_GBK" w:hAnsi="方正小标宋_GBK" w:eastAsia="方正小标宋_GBK" w:cs="方正小标宋_GBK"/>
          <w:color w:val="auto"/>
          <w:kern w:val="2"/>
          <w:sz w:val="32"/>
          <w:szCs w:val="32"/>
          <w:highlight w:val="none"/>
          <w:lang w:val="en-US" w:eastAsia="zh-CN"/>
        </w:rPr>
        <w:t>二〇二四年五月</w:t>
      </w:r>
    </w:p>
    <w:p>
      <w:pPr>
        <w:keepNext w:val="0"/>
        <w:keepLines w:val="0"/>
        <w:pageBreakBefore w:val="0"/>
        <w:widowControl/>
        <w:kinsoku/>
        <w:wordWrap/>
        <w:overflowPunct/>
        <w:topLinePunct w:val="0"/>
        <w:autoSpaceDE/>
        <w:autoSpaceDN/>
        <w:bidi w:val="0"/>
        <w:adjustRightInd/>
        <w:snapToGrid/>
        <w:spacing w:line="760" w:lineRule="exact"/>
        <w:jc w:val="center"/>
        <w:textAlignment w:val="auto"/>
        <w:rPr>
          <w:rFonts w:ascii="方正小标宋简体" w:eastAsia="方正小标宋简体"/>
          <w:color w:val="auto"/>
          <w:sz w:val="28"/>
          <w:szCs w:val="28"/>
          <w:highlight w:val="none"/>
        </w:rPr>
        <w:sectPr>
          <w:headerReference r:id="rId4" w:type="first"/>
          <w:footerReference r:id="rId6" w:type="first"/>
          <w:headerReference r:id="rId3" w:type="even"/>
          <w:footerReference r:id="rId5" w:type="even"/>
          <w:pgSz w:w="11906" w:h="16838"/>
          <w:pgMar w:top="1440" w:right="1800" w:bottom="1440" w:left="1800" w:header="851" w:footer="992" w:gutter="0"/>
          <w:cols w:space="425" w:num="1"/>
          <w:docGrid w:type="lines" w:linePitch="312" w:charSpace="0"/>
        </w:sectPr>
      </w:pPr>
    </w:p>
    <w:p>
      <w:pPr>
        <w:rPr>
          <w:rFonts w:hint="eastAsia" w:eastAsiaTheme="minorEastAsia"/>
          <w:color w:val="auto"/>
          <w:highlight w:val="none"/>
          <w:lang w:eastAsia="zh-CN"/>
        </w:rPr>
      </w:pPr>
    </w:p>
    <w:p>
      <w:pPr>
        <w:widowControl/>
        <w:jc w:val="left"/>
        <w:rPr>
          <w:color w:val="auto"/>
          <w:highlight w:val="none"/>
        </w:rPr>
      </w:pPr>
    </w:p>
    <w:p>
      <w:pPr>
        <w:spacing w:after="312" w:afterLines="100" w:line="760" w:lineRule="exact"/>
        <w:jc w:val="center"/>
        <w:outlineLvl w:val="0"/>
        <w:rPr>
          <w:rFonts w:ascii="方正小标宋简体" w:eastAsia="方正小标宋简体"/>
          <w:color w:val="auto"/>
          <w:sz w:val="36"/>
          <w:szCs w:val="36"/>
          <w:highlight w:val="none"/>
        </w:rPr>
      </w:pPr>
      <w:bookmarkStart w:id="1" w:name="_Toc22980"/>
      <w:bookmarkStart w:id="2" w:name="_Toc11273"/>
      <w:bookmarkStart w:id="3" w:name="_Toc26777"/>
      <w:bookmarkStart w:id="4" w:name="_Toc19967"/>
      <w:bookmarkStart w:id="5" w:name="_Toc7299"/>
      <w:bookmarkStart w:id="6" w:name="_Toc2455"/>
      <w:bookmarkStart w:id="7" w:name="_Toc29291"/>
      <w:bookmarkStart w:id="8" w:name="_Toc25875"/>
      <w:bookmarkStart w:id="9" w:name="_Toc20376"/>
      <w:bookmarkStart w:id="10" w:name="_Toc15692"/>
      <w:bookmarkStart w:id="11" w:name="_Toc21184"/>
      <w:bookmarkStart w:id="12" w:name="_Toc18418"/>
      <w:bookmarkStart w:id="13" w:name="_Toc28280"/>
      <w:bookmarkStart w:id="14" w:name="_Toc14563"/>
      <w:bookmarkStart w:id="15" w:name="_Toc101"/>
      <w:bookmarkStart w:id="16" w:name="_Toc15274"/>
      <w:bookmarkStart w:id="17" w:name="_Toc8460"/>
      <w:bookmarkStart w:id="18" w:name="_Toc5331"/>
      <w:bookmarkStart w:id="19" w:name="_Toc2336"/>
      <w:bookmarkStart w:id="20" w:name="_Toc26426"/>
      <w:bookmarkStart w:id="21" w:name="_Toc15730"/>
      <w:bookmarkStart w:id="22" w:name="_Toc26869"/>
      <w:bookmarkStart w:id="23" w:name="_Toc19850"/>
      <w:r>
        <w:rPr>
          <w:rFonts w:hint="eastAsia" w:ascii="方正小标宋简体" w:eastAsia="方正小标宋简体"/>
          <w:color w:val="auto"/>
          <w:sz w:val="36"/>
          <w:szCs w:val="36"/>
          <w:highlight w:val="none"/>
        </w:rPr>
        <w:t>前 言</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建立国土空间规划体系并监督实施，是</w:t>
      </w:r>
      <w:r>
        <w:rPr>
          <w:rFonts w:hint="eastAsia" w:ascii="Times New Roman" w:hAnsi="Times New Roman" w:eastAsia="仿宋_GB2312" w:cs="Times New Roman"/>
          <w:color w:val="auto"/>
          <w:sz w:val="32"/>
          <w:szCs w:val="32"/>
          <w:highlight w:val="none"/>
          <w:lang w:val="en-US" w:eastAsia="zh-CN"/>
        </w:rPr>
        <w:t>落实</w:t>
      </w:r>
      <w:r>
        <w:rPr>
          <w:rFonts w:hint="eastAsia" w:ascii="Times New Roman" w:hAnsi="Times New Roman" w:eastAsia="仿宋_GB2312" w:cs="Times New Roman"/>
          <w:color w:val="auto"/>
          <w:sz w:val="32"/>
          <w:szCs w:val="32"/>
          <w:highlight w:val="none"/>
        </w:rPr>
        <w:t>党中央、国务院作出的重大战略部署。国土空间规划是空间发展的指南、可持续发展的空间蓝图，是各类开发保护建设活动的基本依据。大姚县人民政府严格落实《中共中央</w:t>
      </w:r>
      <w:r>
        <w:rPr>
          <w:rFonts w:hint="eastAsia"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rPr>
        <w:t>国务院关于建立国土空间规划体系并监督实施的若干意见》（中发〔2019〕18号）</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云南省国土空间规划</w:t>
      </w:r>
      <w:r>
        <w:rPr>
          <w:rFonts w:hint="eastAsia" w:ascii="Times New Roman" w:hAnsi="Times New Roman" w:eastAsia="仿宋_GB2312" w:cs="Times New Roman"/>
          <w:color w:val="auto"/>
          <w:sz w:val="32"/>
          <w:szCs w:val="32"/>
          <w:highlight w:val="none"/>
        </w:rPr>
        <w:t>（2021—2035年）</w:t>
      </w:r>
      <w:r>
        <w:rPr>
          <w:rFonts w:hint="eastAsia" w:ascii="Times New Roman" w:hAnsi="Times New Roman" w:eastAsia="仿宋_GB2312" w:cs="Times New Roman"/>
          <w:color w:val="auto"/>
          <w:sz w:val="32"/>
          <w:szCs w:val="32"/>
          <w:highlight w:val="none"/>
          <w:lang w:val="en-US" w:eastAsia="zh-CN"/>
        </w:rPr>
        <w:t>》和</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楚雄彝族自治州国土空间总体规划</w:t>
      </w:r>
      <w:r>
        <w:rPr>
          <w:rFonts w:hint="eastAsia" w:ascii="Times New Roman" w:hAnsi="Times New Roman" w:eastAsia="仿宋_GB2312" w:cs="Times New Roman"/>
          <w:color w:val="auto"/>
          <w:sz w:val="32"/>
          <w:szCs w:val="32"/>
          <w:highlight w:val="none"/>
        </w:rPr>
        <w:t>（2021—2035年）</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rPr>
        <w:t>等相关要求，组织编制了《大姚县国土空间总体规划（2021—2035年）》（以下简称《规划》）。</w:t>
      </w:r>
    </w:p>
    <w:p>
      <w:pPr>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规划》包括县域和中心城区2个空间层次。规划范围为大姚县行政辖区内的全域国土空间，包括：金碧镇、石羊镇、六苴镇、龙街镇、赵家店镇、新街镇、三岔河镇、桂花镇、湾碧乡、昙华乡、三台乡和铁锁乡8镇4乡。规划基期为2020年，规划期限为2021年至2035年。规划近期至2025年，规划目标年为2035年，远景展望至2050年。</w:t>
      </w:r>
    </w:p>
    <w:p>
      <w:pPr>
        <w:spacing w:line="560" w:lineRule="exact"/>
        <w:ind w:firstLine="640" w:firstLineChars="200"/>
        <w:rPr>
          <w:rFonts w:hint="eastAsia" w:ascii="Times New Roman" w:hAnsi="Times New Roman" w:eastAsia="仿宋_GB2312" w:cs="Times New Roman"/>
          <w:color w:val="auto"/>
          <w:sz w:val="32"/>
          <w:szCs w:val="32"/>
          <w:highlight w:val="none"/>
        </w:rPr>
      </w:pPr>
    </w:p>
    <w:p>
      <w:pPr>
        <w:spacing w:line="560" w:lineRule="exact"/>
        <w:ind w:firstLine="640" w:firstLineChars="200"/>
        <w:rPr>
          <w:rFonts w:ascii="Times New Roman" w:hAnsi="Times New Roman" w:eastAsia="仿宋_GB2312" w:cs="Times New Roman"/>
          <w:color w:val="auto"/>
          <w:sz w:val="32"/>
          <w:szCs w:val="32"/>
          <w:highlight w:val="none"/>
        </w:rPr>
        <w:sectPr>
          <w:headerReference r:id="rId7" w:type="default"/>
          <w:footerReference r:id="rId8" w:type="default"/>
          <w:pgSz w:w="11906" w:h="16838"/>
          <w:pgMar w:top="1440" w:right="1800" w:bottom="1440" w:left="1800" w:header="851" w:footer="992" w:gutter="0"/>
          <w:pgNumType w:start="1"/>
          <w:cols w:space="425" w:num="1"/>
          <w:docGrid w:type="lines" w:linePitch="312" w:charSpace="0"/>
        </w:sectPr>
      </w:pPr>
    </w:p>
    <w:p>
      <w:pPr>
        <w:spacing w:line="560" w:lineRule="exact"/>
        <w:ind w:firstLine="420" w:firstLineChars="200"/>
        <w:rPr>
          <w:color w:val="auto"/>
          <w:highlight w:val="none"/>
        </w:rPr>
      </w:pPr>
    </w:p>
    <w:sdt>
      <w:sdtPr>
        <w:rPr>
          <w:rFonts w:hint="eastAsia" w:ascii="黑体" w:hAnsi="黑体" w:eastAsia="黑体" w:cs="黑体"/>
          <w:color w:val="auto"/>
          <w:sz w:val="36"/>
          <w:szCs w:val="36"/>
          <w:highlight w:val="none"/>
        </w:rPr>
        <w:id w:val="147463544"/>
        <w:docPartObj>
          <w:docPartGallery w:val="Table of Contents"/>
          <w:docPartUnique/>
        </w:docPartObj>
      </w:sdtPr>
      <w:sdtEndPr>
        <w:rPr>
          <w:rFonts w:hint="eastAsia" w:ascii="方正小标宋简体" w:eastAsia="方正小标宋简体" w:cs="黑体" w:hAnsiTheme="minorHAnsi"/>
          <w:b/>
          <w:bCs/>
          <w:color w:val="auto"/>
          <w:sz w:val="21"/>
          <w:szCs w:val="32"/>
          <w:highlight w:val="none"/>
        </w:rPr>
      </w:sdtEndPr>
      <w:sdtContent>
        <w:p>
          <w:pPr>
            <w:widowControl/>
            <w:spacing w:after="312" w:afterLines="100" w:line="360" w:lineRule="exact"/>
            <w:jc w:val="center"/>
            <w:rPr>
              <w:color w:val="auto"/>
              <w:sz w:val="22"/>
              <w:szCs w:val="24"/>
              <w:highlight w:val="none"/>
            </w:rPr>
          </w:pPr>
          <w:r>
            <w:rPr>
              <w:rFonts w:hint="eastAsia" w:ascii="黑体" w:hAnsi="黑体" w:eastAsia="黑体" w:cs="黑体"/>
              <w:color w:val="auto"/>
              <w:sz w:val="36"/>
              <w:szCs w:val="36"/>
              <w:highlight w:val="none"/>
            </w:rPr>
            <w:t>目 录</w:t>
          </w:r>
        </w:p>
        <w:p>
          <w:pPr>
            <w:pStyle w:val="22"/>
            <w:keepNext w:val="0"/>
            <w:keepLines w:val="0"/>
            <w:pageBreakBefore w:val="0"/>
            <w:tabs>
              <w:tab w:val="right" w:leader="dot" w:pos="8306"/>
              <w:tab w:val="clear" w:pos="8296"/>
            </w:tabs>
            <w:kinsoku/>
            <w:wordWrap/>
            <w:overflowPunct/>
            <w:topLinePunct w:val="0"/>
            <w:autoSpaceDE/>
            <w:autoSpaceDN/>
            <w:bidi w:val="0"/>
            <w:adjustRightInd/>
            <w:snapToGrid/>
            <w:spacing w:line="400" w:lineRule="exact"/>
            <w:jc w:val="distribute"/>
            <w:textAlignment w:val="auto"/>
            <w:rPr>
              <w:rFonts w:hint="default" w:ascii="Times New Roman" w:hAnsi="Times New Roman" w:cs="Times New Roman"/>
              <w:color w:val="auto"/>
              <w:sz w:val="24"/>
              <w:szCs w:val="24"/>
              <w:highlight w:val="none"/>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TOC \o "1-2" \h \u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_Toc28431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黑体" w:cs="Times New Roman"/>
              <w:bCs/>
              <w:i w:val="0"/>
              <w:color w:val="auto"/>
              <w:sz w:val="24"/>
              <w:szCs w:val="24"/>
              <w:highlight w:val="none"/>
              <w:lang w:val="en-US"/>
            </w:rPr>
            <w:t xml:space="preserve">第一章 </w:t>
          </w:r>
          <w:r>
            <w:rPr>
              <w:rFonts w:hint="default" w:ascii="Times New Roman" w:hAnsi="Times New Roman" w:eastAsia="黑体" w:cs="Times New Roman"/>
              <w:color w:val="auto"/>
              <w:sz w:val="24"/>
              <w:szCs w:val="24"/>
              <w:highlight w:val="none"/>
            </w:rPr>
            <w:t>国土空间基础与形势</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_Toc28431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1</w:t>
          </w:r>
          <w:r>
            <w:rPr>
              <w:rFonts w:hint="default" w:ascii="Times New Roman" w:hAnsi="Times New Roman"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400" w:lineRule="exact"/>
            <w:jc w:val="distribute"/>
            <w:textAlignment w:val="auto"/>
            <w:rPr>
              <w:rFonts w:hint="default" w:ascii="Times New Roman" w:hAnsi="Times New Roman" w:cs="Times New Roman"/>
              <w:color w:val="auto"/>
              <w:sz w:val="24"/>
              <w:szCs w:val="24"/>
              <w:highlight w:val="none"/>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_Toc26179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黑体" w:cs="Times New Roman"/>
              <w:bCs/>
              <w:color w:val="auto"/>
              <w:sz w:val="24"/>
              <w:szCs w:val="24"/>
              <w:highlight w:val="none"/>
            </w:rPr>
            <w:t>第一节 现状与特征</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_Toc26179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1</w:t>
          </w:r>
          <w:r>
            <w:rPr>
              <w:rFonts w:hint="default" w:ascii="Times New Roman" w:hAnsi="Times New Roman"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400" w:lineRule="exact"/>
            <w:jc w:val="distribute"/>
            <w:textAlignment w:val="auto"/>
            <w:rPr>
              <w:rFonts w:hint="default" w:ascii="Times New Roman" w:hAnsi="Times New Roman" w:cs="Times New Roman"/>
              <w:color w:val="auto"/>
              <w:sz w:val="24"/>
              <w:szCs w:val="24"/>
              <w:highlight w:val="none"/>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_Toc25887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黑体" w:cs="Times New Roman"/>
              <w:bCs/>
              <w:color w:val="auto"/>
              <w:sz w:val="24"/>
              <w:szCs w:val="24"/>
              <w:highlight w:val="none"/>
            </w:rPr>
            <w:t>第二节 机遇与挑战</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_Toc25887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2</w:t>
          </w:r>
          <w:r>
            <w:rPr>
              <w:rFonts w:hint="default" w:ascii="Times New Roman" w:hAnsi="Times New Roman"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pPr>
            <w:pStyle w:val="22"/>
            <w:keepNext w:val="0"/>
            <w:keepLines w:val="0"/>
            <w:pageBreakBefore w:val="0"/>
            <w:tabs>
              <w:tab w:val="right" w:leader="dot" w:pos="8306"/>
              <w:tab w:val="clear" w:pos="8296"/>
            </w:tabs>
            <w:kinsoku/>
            <w:wordWrap/>
            <w:overflowPunct/>
            <w:topLinePunct w:val="0"/>
            <w:autoSpaceDE/>
            <w:autoSpaceDN/>
            <w:bidi w:val="0"/>
            <w:adjustRightInd/>
            <w:snapToGrid/>
            <w:spacing w:line="400" w:lineRule="exact"/>
            <w:jc w:val="distribute"/>
            <w:textAlignment w:val="auto"/>
            <w:rPr>
              <w:rFonts w:hint="default" w:ascii="Times New Roman" w:hAnsi="Times New Roman" w:cs="Times New Roman"/>
              <w:color w:val="auto"/>
              <w:sz w:val="24"/>
              <w:szCs w:val="24"/>
              <w:highlight w:val="none"/>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_Toc6289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黑体" w:cs="Times New Roman"/>
              <w:bCs/>
              <w:i w:val="0"/>
              <w:color w:val="auto"/>
              <w:sz w:val="24"/>
              <w:szCs w:val="24"/>
              <w:highlight w:val="none"/>
              <w:lang w:val="en-US"/>
            </w:rPr>
            <w:t xml:space="preserve">第二章 </w:t>
          </w:r>
          <w:r>
            <w:rPr>
              <w:rFonts w:hint="default" w:ascii="Times New Roman" w:hAnsi="Times New Roman" w:eastAsia="黑体" w:cs="Times New Roman"/>
              <w:color w:val="auto"/>
              <w:sz w:val="24"/>
              <w:szCs w:val="24"/>
              <w:highlight w:val="none"/>
            </w:rPr>
            <w:t>国土空间总体目标与战略</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_Toc6289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6</w:t>
          </w:r>
          <w:r>
            <w:rPr>
              <w:rFonts w:hint="default" w:ascii="Times New Roman" w:hAnsi="Times New Roman"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400" w:lineRule="exact"/>
            <w:jc w:val="distribute"/>
            <w:textAlignment w:val="auto"/>
            <w:rPr>
              <w:rFonts w:hint="default" w:ascii="Times New Roman" w:hAnsi="Times New Roman" w:cs="Times New Roman"/>
              <w:color w:val="auto"/>
              <w:sz w:val="24"/>
              <w:szCs w:val="24"/>
              <w:highlight w:val="none"/>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_Toc5593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黑体" w:cs="Times New Roman"/>
              <w:bCs/>
              <w:color w:val="auto"/>
              <w:sz w:val="24"/>
              <w:szCs w:val="24"/>
              <w:highlight w:val="none"/>
            </w:rPr>
            <w:t>第一节 指导思想</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_Toc5593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6</w:t>
          </w:r>
          <w:r>
            <w:rPr>
              <w:rFonts w:hint="default" w:ascii="Times New Roman" w:hAnsi="Times New Roman"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400" w:lineRule="exact"/>
            <w:jc w:val="distribute"/>
            <w:textAlignment w:val="auto"/>
            <w:rPr>
              <w:rFonts w:hint="default" w:ascii="Times New Roman" w:hAnsi="Times New Roman" w:cs="Times New Roman"/>
              <w:color w:val="auto"/>
              <w:sz w:val="24"/>
              <w:szCs w:val="24"/>
              <w:highlight w:val="none"/>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_Toc8217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黑体" w:cs="Times New Roman"/>
              <w:bCs/>
              <w:color w:val="auto"/>
              <w:sz w:val="24"/>
              <w:szCs w:val="24"/>
              <w:highlight w:val="none"/>
            </w:rPr>
            <w:t>第二节 空间战略</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_Toc8217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6</w:t>
          </w:r>
          <w:r>
            <w:rPr>
              <w:rFonts w:hint="default" w:ascii="Times New Roman" w:hAnsi="Times New Roman"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400" w:lineRule="exact"/>
            <w:jc w:val="distribute"/>
            <w:textAlignment w:val="auto"/>
            <w:rPr>
              <w:rFonts w:hint="default" w:ascii="Times New Roman" w:hAnsi="Times New Roman" w:cs="Times New Roman"/>
              <w:color w:val="auto"/>
              <w:sz w:val="24"/>
              <w:szCs w:val="24"/>
              <w:highlight w:val="none"/>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_Toc24641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黑体" w:cs="Times New Roman"/>
              <w:bCs/>
              <w:color w:val="auto"/>
              <w:sz w:val="24"/>
              <w:szCs w:val="24"/>
              <w:highlight w:val="none"/>
            </w:rPr>
            <w:t>第三节 总体定位</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_Toc24641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8</w:t>
          </w:r>
          <w:r>
            <w:rPr>
              <w:rFonts w:hint="default" w:ascii="Times New Roman" w:hAnsi="Times New Roman"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400" w:lineRule="exact"/>
            <w:jc w:val="distribute"/>
            <w:textAlignment w:val="auto"/>
            <w:rPr>
              <w:rFonts w:hint="default" w:ascii="Times New Roman" w:hAnsi="Times New Roman" w:cs="Times New Roman"/>
              <w:color w:val="auto"/>
              <w:sz w:val="24"/>
              <w:szCs w:val="24"/>
              <w:highlight w:val="none"/>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_Toc4990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黑体" w:cs="Times New Roman"/>
              <w:bCs/>
              <w:color w:val="auto"/>
              <w:sz w:val="24"/>
              <w:szCs w:val="24"/>
              <w:highlight w:val="none"/>
            </w:rPr>
            <w:t>第四节 规划目标</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_Toc4990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8</w:t>
          </w:r>
          <w:r>
            <w:rPr>
              <w:rFonts w:hint="default" w:ascii="Times New Roman" w:hAnsi="Times New Roman"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pPr>
            <w:pStyle w:val="22"/>
            <w:keepNext w:val="0"/>
            <w:keepLines w:val="0"/>
            <w:pageBreakBefore w:val="0"/>
            <w:tabs>
              <w:tab w:val="right" w:leader="dot" w:pos="8306"/>
              <w:tab w:val="clear" w:pos="8296"/>
            </w:tabs>
            <w:kinsoku/>
            <w:wordWrap/>
            <w:overflowPunct/>
            <w:topLinePunct w:val="0"/>
            <w:autoSpaceDE/>
            <w:autoSpaceDN/>
            <w:bidi w:val="0"/>
            <w:adjustRightInd/>
            <w:snapToGrid/>
            <w:spacing w:line="400" w:lineRule="exact"/>
            <w:jc w:val="distribute"/>
            <w:textAlignment w:val="auto"/>
            <w:rPr>
              <w:rFonts w:hint="default" w:ascii="Times New Roman" w:hAnsi="Times New Roman" w:cs="Times New Roman"/>
              <w:color w:val="auto"/>
              <w:sz w:val="24"/>
              <w:szCs w:val="24"/>
              <w:highlight w:val="none"/>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_Toc11611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黑体" w:cs="Times New Roman"/>
              <w:bCs/>
              <w:i w:val="0"/>
              <w:color w:val="auto"/>
              <w:sz w:val="24"/>
              <w:szCs w:val="24"/>
              <w:highlight w:val="none"/>
              <w:lang w:val="en-US"/>
            </w:rPr>
            <w:t xml:space="preserve">第三章 </w:t>
          </w:r>
          <w:r>
            <w:rPr>
              <w:rFonts w:hint="default" w:ascii="Times New Roman" w:hAnsi="Times New Roman" w:eastAsia="黑体" w:cs="Times New Roman"/>
              <w:color w:val="auto"/>
              <w:sz w:val="24"/>
              <w:szCs w:val="24"/>
              <w:highlight w:val="none"/>
            </w:rPr>
            <w:t>以“三区三线”为基础，构建国土空间新格局</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_Toc11611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10</w:t>
          </w:r>
          <w:r>
            <w:rPr>
              <w:rFonts w:hint="default" w:ascii="Times New Roman" w:hAnsi="Times New Roman"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400" w:lineRule="exact"/>
            <w:jc w:val="distribute"/>
            <w:textAlignment w:val="auto"/>
            <w:rPr>
              <w:rFonts w:hint="default" w:ascii="Times New Roman" w:hAnsi="Times New Roman" w:cs="Times New Roman"/>
              <w:color w:val="auto"/>
              <w:sz w:val="24"/>
              <w:szCs w:val="24"/>
              <w:highlight w:val="none"/>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_Toc22775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黑体" w:cs="Times New Roman"/>
              <w:bCs/>
              <w:color w:val="auto"/>
              <w:sz w:val="24"/>
              <w:szCs w:val="24"/>
              <w:highlight w:val="none"/>
            </w:rPr>
            <w:t>第一节 统筹划定“三区三线”</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_Toc22775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10</w:t>
          </w:r>
          <w:r>
            <w:rPr>
              <w:rFonts w:hint="default" w:ascii="Times New Roman" w:hAnsi="Times New Roman"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400" w:lineRule="exact"/>
            <w:jc w:val="distribute"/>
            <w:textAlignment w:val="auto"/>
            <w:rPr>
              <w:rFonts w:hint="default" w:ascii="Times New Roman" w:hAnsi="Times New Roman" w:cs="Times New Roman"/>
              <w:color w:val="auto"/>
              <w:sz w:val="24"/>
              <w:szCs w:val="24"/>
              <w:highlight w:val="none"/>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_Toc28346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黑体" w:cs="Times New Roman"/>
              <w:bCs/>
              <w:color w:val="auto"/>
              <w:sz w:val="24"/>
              <w:szCs w:val="24"/>
              <w:highlight w:val="none"/>
            </w:rPr>
            <w:t>第二节 细化落实主体功能区布局</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_Toc28346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11</w:t>
          </w:r>
          <w:r>
            <w:rPr>
              <w:rFonts w:hint="default" w:ascii="Times New Roman" w:hAnsi="Times New Roman"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400" w:lineRule="exact"/>
            <w:jc w:val="distribute"/>
            <w:textAlignment w:val="auto"/>
            <w:rPr>
              <w:rFonts w:hint="default" w:ascii="Times New Roman" w:hAnsi="Times New Roman" w:cs="Times New Roman"/>
              <w:color w:val="auto"/>
              <w:sz w:val="24"/>
              <w:szCs w:val="24"/>
              <w:highlight w:val="none"/>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_Toc5918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黑体" w:cs="Times New Roman"/>
              <w:bCs/>
              <w:color w:val="auto"/>
              <w:sz w:val="24"/>
              <w:szCs w:val="24"/>
              <w:highlight w:val="none"/>
            </w:rPr>
            <w:t>第三节 积极融入滇中和楚北，强化区域协调</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_Toc5918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11</w:t>
          </w:r>
          <w:r>
            <w:rPr>
              <w:rFonts w:hint="default" w:ascii="Times New Roman" w:hAnsi="Times New Roman"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400" w:lineRule="exact"/>
            <w:jc w:val="distribute"/>
            <w:textAlignment w:val="auto"/>
            <w:rPr>
              <w:rFonts w:hint="default" w:ascii="Times New Roman" w:hAnsi="Times New Roman" w:cs="Times New Roman"/>
              <w:color w:val="auto"/>
              <w:sz w:val="24"/>
              <w:szCs w:val="24"/>
              <w:highlight w:val="none"/>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_Toc1690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黑体" w:cs="Times New Roman"/>
              <w:bCs/>
              <w:color w:val="auto"/>
              <w:sz w:val="24"/>
              <w:szCs w:val="24"/>
              <w:highlight w:val="none"/>
            </w:rPr>
            <w:t>第四节 构建国土空间总体格局</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_Toc1690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13</w:t>
          </w:r>
          <w:r>
            <w:rPr>
              <w:rFonts w:hint="default" w:ascii="Times New Roman" w:hAnsi="Times New Roman"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400" w:lineRule="exact"/>
            <w:jc w:val="distribute"/>
            <w:textAlignment w:val="auto"/>
            <w:rPr>
              <w:rFonts w:hint="default" w:ascii="Times New Roman" w:hAnsi="Times New Roman" w:cs="Times New Roman"/>
              <w:color w:val="auto"/>
              <w:sz w:val="24"/>
              <w:szCs w:val="24"/>
              <w:highlight w:val="none"/>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_Toc19745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黑体" w:cs="Times New Roman"/>
              <w:bCs/>
              <w:color w:val="auto"/>
              <w:sz w:val="24"/>
              <w:szCs w:val="24"/>
              <w:highlight w:val="none"/>
            </w:rPr>
            <w:t>第五节 优化国土空间规划分区</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_Toc19745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13</w:t>
          </w:r>
          <w:r>
            <w:rPr>
              <w:rFonts w:hint="default" w:ascii="Times New Roman" w:hAnsi="Times New Roman"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400" w:lineRule="exact"/>
            <w:jc w:val="distribute"/>
            <w:textAlignment w:val="auto"/>
            <w:rPr>
              <w:rFonts w:hint="default" w:ascii="Times New Roman" w:hAnsi="Times New Roman" w:cs="Times New Roman"/>
              <w:color w:val="auto"/>
              <w:sz w:val="24"/>
              <w:szCs w:val="24"/>
              <w:highlight w:val="none"/>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_Toc3531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黑体" w:cs="Times New Roman"/>
              <w:bCs/>
              <w:color w:val="auto"/>
              <w:sz w:val="24"/>
              <w:szCs w:val="24"/>
              <w:highlight w:val="none"/>
            </w:rPr>
            <w:t>第六节 全域用地结构调整优化</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_Toc3531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14</w:t>
          </w:r>
          <w:r>
            <w:rPr>
              <w:rFonts w:hint="default" w:ascii="Times New Roman" w:hAnsi="Times New Roman"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pPr>
            <w:pStyle w:val="22"/>
            <w:keepNext w:val="0"/>
            <w:keepLines w:val="0"/>
            <w:pageBreakBefore w:val="0"/>
            <w:tabs>
              <w:tab w:val="right" w:leader="dot" w:pos="8306"/>
              <w:tab w:val="clear" w:pos="8296"/>
            </w:tabs>
            <w:kinsoku/>
            <w:wordWrap/>
            <w:overflowPunct/>
            <w:topLinePunct w:val="0"/>
            <w:autoSpaceDE/>
            <w:autoSpaceDN/>
            <w:bidi w:val="0"/>
            <w:adjustRightInd/>
            <w:snapToGrid/>
            <w:spacing w:line="400" w:lineRule="exact"/>
            <w:jc w:val="distribute"/>
            <w:textAlignment w:val="auto"/>
            <w:rPr>
              <w:rFonts w:hint="default" w:ascii="Times New Roman" w:hAnsi="Times New Roman" w:cs="Times New Roman"/>
              <w:color w:val="auto"/>
              <w:sz w:val="24"/>
              <w:szCs w:val="24"/>
              <w:highlight w:val="none"/>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_Toc21888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黑体" w:cs="Times New Roman"/>
              <w:bCs/>
              <w:i w:val="0"/>
              <w:color w:val="auto"/>
              <w:sz w:val="24"/>
              <w:szCs w:val="24"/>
              <w:highlight w:val="none"/>
              <w:lang w:val="en-US"/>
            </w:rPr>
            <w:t xml:space="preserve">第四章 </w:t>
          </w:r>
          <w:r>
            <w:rPr>
              <w:rFonts w:hint="default" w:ascii="Times New Roman" w:hAnsi="Times New Roman" w:eastAsia="黑体" w:cs="Times New Roman"/>
              <w:color w:val="auto"/>
              <w:sz w:val="24"/>
              <w:szCs w:val="24"/>
              <w:highlight w:val="none"/>
            </w:rPr>
            <w:t>做优农业发展空间</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_Toc21888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15</w:t>
          </w:r>
          <w:r>
            <w:rPr>
              <w:rFonts w:hint="default" w:ascii="Times New Roman" w:hAnsi="Times New Roman"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400" w:lineRule="exact"/>
            <w:jc w:val="distribute"/>
            <w:textAlignment w:val="auto"/>
            <w:rPr>
              <w:rFonts w:hint="default" w:ascii="Times New Roman" w:hAnsi="Times New Roman" w:cs="Times New Roman"/>
              <w:color w:val="auto"/>
              <w:sz w:val="24"/>
              <w:szCs w:val="24"/>
              <w:highlight w:val="none"/>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_Toc19958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黑体" w:cs="Times New Roman"/>
              <w:bCs/>
              <w:color w:val="auto"/>
              <w:sz w:val="24"/>
              <w:szCs w:val="24"/>
              <w:highlight w:val="none"/>
            </w:rPr>
            <w:t>第一节 优化农业空间布局</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_Toc19958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15</w:t>
          </w:r>
          <w:r>
            <w:rPr>
              <w:rFonts w:hint="default" w:ascii="Times New Roman" w:hAnsi="Times New Roman"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400" w:lineRule="exact"/>
            <w:jc w:val="distribute"/>
            <w:textAlignment w:val="auto"/>
            <w:rPr>
              <w:rFonts w:hint="default" w:ascii="Times New Roman" w:hAnsi="Times New Roman" w:cs="Times New Roman"/>
              <w:color w:val="auto"/>
              <w:sz w:val="24"/>
              <w:szCs w:val="24"/>
              <w:highlight w:val="none"/>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_Toc28610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黑体" w:cs="Times New Roman"/>
              <w:bCs/>
              <w:color w:val="auto"/>
              <w:sz w:val="24"/>
              <w:szCs w:val="24"/>
              <w:highlight w:val="none"/>
            </w:rPr>
            <w:t>第二节 严守农业发展安全</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_Toc28610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16</w:t>
          </w:r>
          <w:r>
            <w:rPr>
              <w:rFonts w:hint="default" w:ascii="Times New Roman" w:hAnsi="Times New Roman"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400" w:lineRule="exact"/>
            <w:jc w:val="distribute"/>
            <w:textAlignment w:val="auto"/>
            <w:rPr>
              <w:rFonts w:hint="default" w:ascii="Times New Roman" w:hAnsi="Times New Roman" w:cs="Times New Roman"/>
              <w:color w:val="auto"/>
              <w:sz w:val="24"/>
              <w:szCs w:val="24"/>
              <w:highlight w:val="none"/>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_Toc15108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黑体" w:cs="Times New Roman"/>
              <w:bCs/>
              <w:color w:val="auto"/>
              <w:sz w:val="24"/>
              <w:szCs w:val="24"/>
              <w:highlight w:val="none"/>
            </w:rPr>
            <w:t>第三节 发展高原特色现代农业</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_Toc15108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19</w:t>
          </w:r>
          <w:r>
            <w:rPr>
              <w:rFonts w:hint="default" w:ascii="Times New Roman" w:hAnsi="Times New Roman"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pPr>
            <w:pStyle w:val="22"/>
            <w:keepNext w:val="0"/>
            <w:keepLines w:val="0"/>
            <w:pageBreakBefore w:val="0"/>
            <w:tabs>
              <w:tab w:val="right" w:leader="dot" w:pos="8306"/>
              <w:tab w:val="clear" w:pos="8296"/>
            </w:tabs>
            <w:kinsoku/>
            <w:wordWrap/>
            <w:overflowPunct/>
            <w:topLinePunct w:val="0"/>
            <w:autoSpaceDE/>
            <w:autoSpaceDN/>
            <w:bidi w:val="0"/>
            <w:adjustRightInd/>
            <w:snapToGrid/>
            <w:spacing w:line="400" w:lineRule="exact"/>
            <w:jc w:val="distribute"/>
            <w:textAlignment w:val="auto"/>
            <w:rPr>
              <w:rFonts w:hint="default" w:ascii="Times New Roman" w:hAnsi="Times New Roman" w:cs="Times New Roman"/>
              <w:color w:val="auto"/>
              <w:sz w:val="24"/>
              <w:szCs w:val="24"/>
              <w:highlight w:val="none"/>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_Toc4291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黑体" w:cs="Times New Roman"/>
              <w:bCs/>
              <w:i w:val="0"/>
              <w:color w:val="auto"/>
              <w:sz w:val="24"/>
              <w:szCs w:val="24"/>
              <w:highlight w:val="none"/>
              <w:lang w:val="en-US"/>
            </w:rPr>
            <w:t xml:space="preserve">第五章 </w:t>
          </w:r>
          <w:r>
            <w:rPr>
              <w:rFonts w:hint="default" w:ascii="Times New Roman" w:hAnsi="Times New Roman" w:eastAsia="黑体" w:cs="Times New Roman"/>
              <w:color w:val="auto"/>
              <w:sz w:val="24"/>
              <w:szCs w:val="24"/>
              <w:highlight w:val="none"/>
            </w:rPr>
            <w:t>筑牢生态保护空间</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_Toc4291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21</w:t>
          </w:r>
          <w:r>
            <w:rPr>
              <w:rFonts w:hint="default" w:ascii="Times New Roman" w:hAnsi="Times New Roman"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400" w:lineRule="exact"/>
            <w:jc w:val="distribute"/>
            <w:textAlignment w:val="auto"/>
            <w:rPr>
              <w:rFonts w:hint="default" w:ascii="Times New Roman" w:hAnsi="Times New Roman" w:cs="Times New Roman"/>
              <w:color w:val="auto"/>
              <w:sz w:val="24"/>
              <w:szCs w:val="24"/>
              <w:highlight w:val="none"/>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_Toc19621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黑体" w:cs="Times New Roman"/>
              <w:bCs/>
              <w:color w:val="auto"/>
              <w:sz w:val="24"/>
              <w:szCs w:val="24"/>
              <w:highlight w:val="none"/>
            </w:rPr>
            <w:t>第一节 筑牢生态安全格局</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_Toc19621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21</w:t>
          </w:r>
          <w:r>
            <w:rPr>
              <w:rFonts w:hint="default" w:ascii="Times New Roman" w:hAnsi="Times New Roman"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400" w:lineRule="exact"/>
            <w:jc w:val="distribute"/>
            <w:textAlignment w:val="auto"/>
            <w:rPr>
              <w:rFonts w:hint="default" w:ascii="Times New Roman" w:hAnsi="Times New Roman" w:cs="Times New Roman"/>
              <w:color w:val="auto"/>
              <w:sz w:val="24"/>
              <w:szCs w:val="24"/>
              <w:highlight w:val="none"/>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_Toc30349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黑体" w:cs="Times New Roman"/>
              <w:bCs/>
              <w:color w:val="auto"/>
              <w:sz w:val="24"/>
              <w:szCs w:val="24"/>
              <w:highlight w:val="none"/>
            </w:rPr>
            <w:t>第二节 建立自然保护地体系</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_Toc30349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21</w:t>
          </w:r>
          <w:r>
            <w:rPr>
              <w:rFonts w:hint="default" w:ascii="Times New Roman" w:hAnsi="Times New Roman"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400" w:lineRule="exact"/>
            <w:jc w:val="distribute"/>
            <w:textAlignment w:val="auto"/>
            <w:rPr>
              <w:rFonts w:hint="default" w:ascii="Times New Roman" w:hAnsi="Times New Roman" w:cs="Times New Roman"/>
              <w:color w:val="auto"/>
              <w:sz w:val="24"/>
              <w:szCs w:val="24"/>
              <w:highlight w:val="none"/>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_Toc24921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黑体" w:cs="Times New Roman"/>
              <w:bCs/>
              <w:color w:val="auto"/>
              <w:sz w:val="24"/>
              <w:szCs w:val="24"/>
              <w:highlight w:val="none"/>
            </w:rPr>
            <w:t>第三节 全面提升生态系统功能</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_Toc24921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21</w:t>
          </w:r>
          <w:r>
            <w:rPr>
              <w:rFonts w:hint="default" w:ascii="Times New Roman" w:hAnsi="Times New Roman"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400" w:lineRule="exact"/>
            <w:jc w:val="distribute"/>
            <w:textAlignment w:val="auto"/>
            <w:rPr>
              <w:rFonts w:hint="default" w:ascii="Times New Roman" w:hAnsi="Times New Roman" w:cs="Times New Roman"/>
              <w:color w:val="auto"/>
              <w:sz w:val="24"/>
              <w:szCs w:val="24"/>
              <w:highlight w:val="none"/>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_Toc9177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黑体" w:cs="Times New Roman"/>
              <w:bCs/>
              <w:color w:val="auto"/>
              <w:sz w:val="24"/>
              <w:szCs w:val="24"/>
              <w:highlight w:val="none"/>
            </w:rPr>
            <w:t>第四节 自然资源保护和合理利用</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_Toc9177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23</w:t>
          </w:r>
          <w:r>
            <w:rPr>
              <w:rFonts w:hint="default" w:ascii="Times New Roman" w:hAnsi="Times New Roman"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pPr>
            <w:pStyle w:val="22"/>
            <w:keepNext w:val="0"/>
            <w:keepLines w:val="0"/>
            <w:pageBreakBefore w:val="0"/>
            <w:tabs>
              <w:tab w:val="right" w:leader="dot" w:pos="8306"/>
              <w:tab w:val="clear" w:pos="8296"/>
            </w:tabs>
            <w:kinsoku/>
            <w:wordWrap/>
            <w:overflowPunct/>
            <w:topLinePunct w:val="0"/>
            <w:autoSpaceDE/>
            <w:autoSpaceDN/>
            <w:bidi w:val="0"/>
            <w:adjustRightInd/>
            <w:snapToGrid/>
            <w:spacing w:line="400" w:lineRule="exact"/>
            <w:jc w:val="distribute"/>
            <w:textAlignment w:val="auto"/>
            <w:rPr>
              <w:rFonts w:hint="default" w:ascii="Times New Roman" w:hAnsi="Times New Roman" w:cs="Times New Roman"/>
              <w:color w:val="auto"/>
              <w:sz w:val="24"/>
              <w:szCs w:val="24"/>
              <w:highlight w:val="none"/>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_Toc24160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黑体" w:cs="Times New Roman"/>
              <w:bCs/>
              <w:i w:val="0"/>
              <w:color w:val="auto"/>
              <w:sz w:val="24"/>
              <w:szCs w:val="24"/>
              <w:highlight w:val="none"/>
              <w:lang w:val="en-US"/>
            </w:rPr>
            <w:t xml:space="preserve">第六章 </w:t>
          </w:r>
          <w:r>
            <w:rPr>
              <w:rFonts w:hint="default" w:ascii="Times New Roman" w:hAnsi="Times New Roman" w:eastAsia="黑体" w:cs="Times New Roman"/>
              <w:color w:val="auto"/>
              <w:sz w:val="24"/>
              <w:szCs w:val="24"/>
              <w:highlight w:val="none"/>
            </w:rPr>
            <w:t>优化城乡发展空间</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_Toc24160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27</w:t>
          </w:r>
          <w:r>
            <w:rPr>
              <w:rFonts w:hint="default" w:ascii="Times New Roman" w:hAnsi="Times New Roman"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400" w:lineRule="exact"/>
            <w:jc w:val="distribute"/>
            <w:textAlignment w:val="auto"/>
            <w:rPr>
              <w:rFonts w:hint="default" w:ascii="Times New Roman" w:hAnsi="Times New Roman" w:cs="Times New Roman"/>
              <w:color w:val="auto"/>
              <w:sz w:val="24"/>
              <w:szCs w:val="24"/>
              <w:highlight w:val="none"/>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_Toc18597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黑体" w:cs="Times New Roman"/>
              <w:bCs/>
              <w:color w:val="auto"/>
              <w:sz w:val="24"/>
              <w:szCs w:val="24"/>
              <w:highlight w:val="none"/>
            </w:rPr>
            <w:t>第一节 县域人口</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_Toc18597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27</w:t>
          </w:r>
          <w:r>
            <w:rPr>
              <w:rFonts w:hint="default" w:ascii="Times New Roman" w:hAnsi="Times New Roman"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400" w:lineRule="exact"/>
            <w:jc w:val="distribute"/>
            <w:textAlignment w:val="auto"/>
            <w:rPr>
              <w:rFonts w:hint="default" w:ascii="Times New Roman" w:hAnsi="Times New Roman" w:cs="Times New Roman"/>
              <w:color w:val="auto"/>
              <w:sz w:val="24"/>
              <w:szCs w:val="24"/>
              <w:highlight w:val="none"/>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_Toc7288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黑体" w:cs="Times New Roman"/>
              <w:bCs/>
              <w:color w:val="auto"/>
              <w:sz w:val="24"/>
              <w:szCs w:val="24"/>
              <w:highlight w:val="none"/>
            </w:rPr>
            <w:t>第二节 县域</w:t>
          </w:r>
          <w:r>
            <w:rPr>
              <w:rFonts w:hint="default" w:ascii="Times New Roman" w:hAnsi="Times New Roman" w:eastAsia="黑体" w:cs="Times New Roman"/>
              <w:bCs/>
              <w:color w:val="auto"/>
              <w:sz w:val="24"/>
              <w:szCs w:val="24"/>
              <w:highlight w:val="none"/>
              <w:lang w:val="en-US" w:eastAsia="zh-CN"/>
            </w:rPr>
            <w:t>城镇</w:t>
          </w:r>
          <w:r>
            <w:rPr>
              <w:rFonts w:hint="default" w:ascii="Times New Roman" w:hAnsi="Times New Roman" w:eastAsia="黑体" w:cs="Times New Roman"/>
              <w:bCs/>
              <w:color w:val="auto"/>
              <w:sz w:val="24"/>
              <w:szCs w:val="24"/>
              <w:highlight w:val="none"/>
            </w:rPr>
            <w:t>体系构建及城乡融合</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_Toc7288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27</w:t>
          </w:r>
          <w:r>
            <w:rPr>
              <w:rFonts w:hint="default" w:ascii="Times New Roman" w:hAnsi="Times New Roman"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400" w:lineRule="exact"/>
            <w:jc w:val="distribute"/>
            <w:textAlignment w:val="auto"/>
            <w:rPr>
              <w:rFonts w:hint="default" w:ascii="Times New Roman" w:hAnsi="Times New Roman" w:cs="Times New Roman"/>
              <w:color w:val="auto"/>
              <w:sz w:val="24"/>
              <w:szCs w:val="24"/>
              <w:highlight w:val="none"/>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_Toc2187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黑体" w:cs="Times New Roman"/>
              <w:bCs/>
              <w:color w:val="auto"/>
              <w:sz w:val="24"/>
              <w:szCs w:val="24"/>
              <w:highlight w:val="none"/>
            </w:rPr>
            <w:t>第三节 县域产业空间布局</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_Toc2187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29</w:t>
          </w:r>
          <w:r>
            <w:rPr>
              <w:rFonts w:hint="default" w:ascii="Times New Roman" w:hAnsi="Times New Roman"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400" w:lineRule="exact"/>
            <w:jc w:val="distribute"/>
            <w:textAlignment w:val="auto"/>
            <w:rPr>
              <w:rFonts w:hint="default" w:ascii="Times New Roman" w:hAnsi="Times New Roman" w:cs="Times New Roman"/>
              <w:color w:val="auto"/>
              <w:sz w:val="24"/>
              <w:szCs w:val="24"/>
              <w:highlight w:val="none"/>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_Toc28508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黑体" w:cs="Times New Roman"/>
              <w:bCs/>
              <w:color w:val="auto"/>
              <w:sz w:val="24"/>
              <w:szCs w:val="24"/>
              <w:highlight w:val="none"/>
            </w:rPr>
            <w:t>第四节 乡村振兴与村庄布局</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_Toc28508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33</w:t>
          </w:r>
          <w:r>
            <w:rPr>
              <w:rFonts w:hint="default" w:ascii="Times New Roman" w:hAnsi="Times New Roman"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400" w:lineRule="exact"/>
            <w:jc w:val="distribute"/>
            <w:textAlignment w:val="auto"/>
            <w:rPr>
              <w:rFonts w:hint="default" w:ascii="Times New Roman" w:hAnsi="Times New Roman" w:cs="Times New Roman"/>
              <w:color w:val="auto"/>
              <w:sz w:val="24"/>
              <w:szCs w:val="24"/>
              <w:highlight w:val="none"/>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_Toc21690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黑体" w:cs="Times New Roman"/>
              <w:bCs/>
              <w:color w:val="auto"/>
              <w:sz w:val="24"/>
              <w:szCs w:val="24"/>
              <w:highlight w:val="none"/>
            </w:rPr>
            <w:t>第五节 建设用地集约节约利用</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_Toc21690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34</w:t>
          </w:r>
          <w:r>
            <w:rPr>
              <w:rFonts w:hint="default" w:ascii="Times New Roman" w:hAnsi="Times New Roman"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400" w:lineRule="exact"/>
            <w:jc w:val="distribute"/>
            <w:textAlignment w:val="auto"/>
            <w:rPr>
              <w:rFonts w:hint="default" w:ascii="Times New Roman" w:hAnsi="Times New Roman" w:cs="Times New Roman"/>
              <w:color w:val="auto"/>
              <w:sz w:val="24"/>
              <w:szCs w:val="24"/>
              <w:highlight w:val="none"/>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_Toc18010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黑体" w:cs="Times New Roman"/>
              <w:bCs/>
              <w:color w:val="auto"/>
              <w:sz w:val="24"/>
              <w:szCs w:val="24"/>
              <w:highlight w:val="none"/>
            </w:rPr>
            <w:t>第六节 明确战略预留空间</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_Toc18010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35</w:t>
          </w:r>
          <w:r>
            <w:rPr>
              <w:rFonts w:hint="default" w:ascii="Times New Roman" w:hAnsi="Times New Roman"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pPr>
            <w:pStyle w:val="22"/>
            <w:keepNext w:val="0"/>
            <w:keepLines w:val="0"/>
            <w:pageBreakBefore w:val="0"/>
            <w:tabs>
              <w:tab w:val="right" w:leader="dot" w:pos="8306"/>
              <w:tab w:val="clear" w:pos="8296"/>
            </w:tabs>
            <w:kinsoku/>
            <w:wordWrap/>
            <w:overflowPunct/>
            <w:topLinePunct w:val="0"/>
            <w:autoSpaceDE/>
            <w:autoSpaceDN/>
            <w:bidi w:val="0"/>
            <w:adjustRightInd/>
            <w:snapToGrid/>
            <w:spacing w:line="400" w:lineRule="exact"/>
            <w:jc w:val="distribute"/>
            <w:textAlignment w:val="auto"/>
            <w:rPr>
              <w:rFonts w:hint="default" w:ascii="Times New Roman" w:hAnsi="Times New Roman" w:cs="Times New Roman"/>
              <w:color w:val="auto"/>
              <w:sz w:val="24"/>
              <w:szCs w:val="24"/>
              <w:highlight w:val="none"/>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_Toc32445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黑体" w:cs="Times New Roman"/>
              <w:bCs/>
              <w:i w:val="0"/>
              <w:color w:val="auto"/>
              <w:sz w:val="24"/>
              <w:szCs w:val="24"/>
              <w:highlight w:val="none"/>
              <w:lang w:val="en-US"/>
            </w:rPr>
            <w:t xml:space="preserve">第七章 </w:t>
          </w:r>
          <w:r>
            <w:rPr>
              <w:rFonts w:hint="default" w:ascii="Times New Roman" w:hAnsi="Times New Roman" w:eastAsia="黑体" w:cs="Times New Roman"/>
              <w:color w:val="auto"/>
              <w:sz w:val="24"/>
              <w:szCs w:val="24"/>
              <w:highlight w:val="none"/>
            </w:rPr>
            <w:t>中心城区国土空间规划</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_Toc32445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36</w:t>
          </w:r>
          <w:r>
            <w:rPr>
              <w:rFonts w:hint="default" w:ascii="Times New Roman" w:hAnsi="Times New Roman"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400" w:lineRule="exact"/>
            <w:jc w:val="distribute"/>
            <w:textAlignment w:val="auto"/>
            <w:rPr>
              <w:rFonts w:hint="default" w:ascii="Times New Roman" w:hAnsi="Times New Roman" w:cs="Times New Roman"/>
              <w:color w:val="auto"/>
              <w:sz w:val="24"/>
              <w:szCs w:val="24"/>
              <w:highlight w:val="none"/>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_Toc5756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黑体" w:cs="Times New Roman"/>
              <w:bCs/>
              <w:color w:val="auto"/>
              <w:sz w:val="24"/>
              <w:szCs w:val="24"/>
              <w:highlight w:val="none"/>
            </w:rPr>
            <w:t>第一节 中心城区空间结构与规划分区</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_Toc5756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36</w:t>
          </w:r>
          <w:r>
            <w:rPr>
              <w:rFonts w:hint="default" w:ascii="Times New Roman" w:hAnsi="Times New Roman"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400" w:lineRule="exact"/>
            <w:jc w:val="distribute"/>
            <w:textAlignment w:val="auto"/>
            <w:rPr>
              <w:rFonts w:hint="default" w:ascii="Times New Roman" w:hAnsi="Times New Roman" w:cs="Times New Roman"/>
              <w:color w:val="auto"/>
              <w:sz w:val="24"/>
              <w:szCs w:val="24"/>
              <w:highlight w:val="none"/>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_Toc4725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黑体" w:cs="Times New Roman"/>
              <w:bCs/>
              <w:color w:val="auto"/>
              <w:sz w:val="24"/>
              <w:szCs w:val="24"/>
              <w:highlight w:val="none"/>
            </w:rPr>
            <w:t>第二节 中心城区综合交通规划</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_Toc4725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37</w:t>
          </w:r>
          <w:r>
            <w:rPr>
              <w:rFonts w:hint="default" w:ascii="Times New Roman" w:hAnsi="Times New Roman"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400" w:lineRule="exact"/>
            <w:jc w:val="distribute"/>
            <w:textAlignment w:val="auto"/>
            <w:rPr>
              <w:rFonts w:hint="default" w:ascii="Times New Roman" w:hAnsi="Times New Roman" w:cs="Times New Roman"/>
              <w:color w:val="auto"/>
              <w:sz w:val="24"/>
              <w:szCs w:val="24"/>
              <w:highlight w:val="none"/>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_Toc792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黑体" w:cs="Times New Roman"/>
              <w:bCs/>
              <w:color w:val="auto"/>
              <w:sz w:val="24"/>
              <w:szCs w:val="24"/>
              <w:highlight w:val="none"/>
            </w:rPr>
            <w:t>第三节 中心城区公共服务设施规划</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_Toc792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39</w:t>
          </w:r>
          <w:r>
            <w:rPr>
              <w:rFonts w:hint="default" w:ascii="Times New Roman" w:hAnsi="Times New Roman"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400" w:lineRule="exact"/>
            <w:jc w:val="distribute"/>
            <w:textAlignment w:val="auto"/>
            <w:rPr>
              <w:rFonts w:hint="default" w:ascii="Times New Roman" w:hAnsi="Times New Roman" w:cs="Times New Roman"/>
              <w:color w:val="auto"/>
              <w:sz w:val="24"/>
              <w:szCs w:val="24"/>
              <w:highlight w:val="none"/>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_Toc14580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黑体" w:cs="Times New Roman"/>
              <w:bCs/>
              <w:color w:val="auto"/>
              <w:sz w:val="24"/>
              <w:szCs w:val="24"/>
              <w:highlight w:val="none"/>
            </w:rPr>
            <w:t>第四节 蓝绿开敞空间与公共空间规划</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_Toc14580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41</w:t>
          </w:r>
          <w:r>
            <w:rPr>
              <w:rFonts w:hint="default" w:ascii="Times New Roman" w:hAnsi="Times New Roman"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400" w:lineRule="exact"/>
            <w:jc w:val="distribute"/>
            <w:textAlignment w:val="auto"/>
            <w:rPr>
              <w:rFonts w:hint="default" w:ascii="Times New Roman" w:hAnsi="Times New Roman" w:cs="Times New Roman"/>
              <w:color w:val="auto"/>
              <w:sz w:val="24"/>
              <w:szCs w:val="24"/>
              <w:highlight w:val="none"/>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_Toc8133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黑体" w:cs="Times New Roman"/>
              <w:bCs/>
              <w:color w:val="auto"/>
              <w:sz w:val="24"/>
              <w:szCs w:val="24"/>
              <w:highlight w:val="none"/>
            </w:rPr>
            <w:t>第五节 城市设计与风貌引导</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_Toc8133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41</w:t>
          </w:r>
          <w:r>
            <w:rPr>
              <w:rFonts w:hint="default" w:ascii="Times New Roman" w:hAnsi="Times New Roman"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400" w:lineRule="exact"/>
            <w:jc w:val="distribute"/>
            <w:textAlignment w:val="auto"/>
            <w:rPr>
              <w:rFonts w:hint="default" w:ascii="Times New Roman" w:hAnsi="Times New Roman" w:cs="Times New Roman"/>
              <w:color w:val="auto"/>
              <w:sz w:val="24"/>
              <w:szCs w:val="24"/>
              <w:highlight w:val="none"/>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_Toc13079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黑体" w:cs="Times New Roman"/>
              <w:bCs/>
              <w:color w:val="auto"/>
              <w:sz w:val="24"/>
              <w:szCs w:val="24"/>
              <w:highlight w:val="none"/>
            </w:rPr>
            <w:t>第六节 详细规划单元划定</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_Toc13079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43</w:t>
          </w:r>
          <w:r>
            <w:rPr>
              <w:rFonts w:hint="default" w:ascii="Times New Roman" w:hAnsi="Times New Roman"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400" w:lineRule="exact"/>
            <w:jc w:val="distribute"/>
            <w:textAlignment w:val="auto"/>
            <w:rPr>
              <w:rFonts w:hint="default" w:ascii="Times New Roman" w:hAnsi="Times New Roman" w:cs="Times New Roman"/>
              <w:color w:val="auto"/>
              <w:sz w:val="24"/>
              <w:szCs w:val="24"/>
              <w:highlight w:val="none"/>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_Toc16129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黑体" w:cs="Times New Roman"/>
              <w:bCs/>
              <w:color w:val="auto"/>
              <w:sz w:val="24"/>
              <w:szCs w:val="24"/>
              <w:highlight w:val="none"/>
            </w:rPr>
            <w:t>第七节 “四线”划定与管控</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_Toc16129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44</w:t>
          </w:r>
          <w:r>
            <w:rPr>
              <w:rFonts w:hint="default" w:ascii="Times New Roman" w:hAnsi="Times New Roman"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pPr>
            <w:pStyle w:val="22"/>
            <w:keepNext w:val="0"/>
            <w:keepLines w:val="0"/>
            <w:pageBreakBefore w:val="0"/>
            <w:tabs>
              <w:tab w:val="right" w:leader="dot" w:pos="8306"/>
              <w:tab w:val="clear" w:pos="8296"/>
            </w:tabs>
            <w:kinsoku/>
            <w:wordWrap/>
            <w:overflowPunct/>
            <w:topLinePunct w:val="0"/>
            <w:autoSpaceDE/>
            <w:autoSpaceDN/>
            <w:bidi w:val="0"/>
            <w:adjustRightInd/>
            <w:snapToGrid/>
            <w:spacing w:line="400" w:lineRule="exact"/>
            <w:jc w:val="distribute"/>
            <w:textAlignment w:val="auto"/>
            <w:rPr>
              <w:rFonts w:hint="default" w:ascii="Times New Roman" w:hAnsi="Times New Roman" w:cs="Times New Roman"/>
              <w:color w:val="auto"/>
              <w:sz w:val="24"/>
              <w:szCs w:val="24"/>
              <w:highlight w:val="none"/>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_Toc12821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黑体" w:cs="Times New Roman"/>
              <w:bCs/>
              <w:i w:val="0"/>
              <w:color w:val="auto"/>
              <w:sz w:val="24"/>
              <w:szCs w:val="24"/>
              <w:highlight w:val="none"/>
              <w:lang w:val="en-US"/>
            </w:rPr>
            <w:t xml:space="preserve">第八章 </w:t>
          </w:r>
          <w:r>
            <w:rPr>
              <w:rFonts w:hint="default" w:ascii="Times New Roman" w:hAnsi="Times New Roman" w:eastAsia="黑体" w:cs="Times New Roman"/>
              <w:color w:val="auto"/>
              <w:sz w:val="24"/>
              <w:szCs w:val="24"/>
              <w:highlight w:val="none"/>
            </w:rPr>
            <w:t>塑造大姚特色魅力空间</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_Toc12821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45</w:t>
          </w:r>
          <w:r>
            <w:rPr>
              <w:rFonts w:hint="default" w:ascii="Times New Roman" w:hAnsi="Times New Roman"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400" w:lineRule="exact"/>
            <w:jc w:val="distribute"/>
            <w:textAlignment w:val="auto"/>
            <w:rPr>
              <w:rFonts w:hint="default" w:ascii="Times New Roman" w:hAnsi="Times New Roman" w:cs="Times New Roman"/>
              <w:color w:val="auto"/>
              <w:sz w:val="24"/>
              <w:szCs w:val="24"/>
              <w:highlight w:val="none"/>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_Toc6930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黑体" w:cs="Times New Roman"/>
              <w:bCs/>
              <w:color w:val="auto"/>
              <w:sz w:val="24"/>
              <w:szCs w:val="24"/>
              <w:highlight w:val="none"/>
            </w:rPr>
            <w:t>第一节 加强全域历史文化保护与利用</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_Toc6930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45</w:t>
          </w:r>
          <w:r>
            <w:rPr>
              <w:rFonts w:hint="default" w:ascii="Times New Roman" w:hAnsi="Times New Roman"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400" w:lineRule="exact"/>
            <w:jc w:val="distribute"/>
            <w:textAlignment w:val="auto"/>
            <w:rPr>
              <w:rFonts w:hint="default" w:ascii="Times New Roman" w:hAnsi="Times New Roman" w:cs="Times New Roman"/>
              <w:color w:val="auto"/>
              <w:sz w:val="24"/>
              <w:szCs w:val="24"/>
              <w:highlight w:val="none"/>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_Toc17757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黑体" w:cs="Times New Roman"/>
              <w:bCs/>
              <w:color w:val="auto"/>
              <w:sz w:val="24"/>
              <w:szCs w:val="24"/>
              <w:highlight w:val="none"/>
            </w:rPr>
            <w:t>第二节 塑造特色城乡风貌与魅力空间</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_Toc17757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48</w:t>
          </w:r>
          <w:r>
            <w:rPr>
              <w:rFonts w:hint="default" w:ascii="Times New Roman" w:hAnsi="Times New Roman"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pPr>
            <w:pStyle w:val="22"/>
            <w:keepNext w:val="0"/>
            <w:keepLines w:val="0"/>
            <w:pageBreakBefore w:val="0"/>
            <w:tabs>
              <w:tab w:val="right" w:leader="dot" w:pos="8306"/>
              <w:tab w:val="clear" w:pos="8296"/>
            </w:tabs>
            <w:kinsoku/>
            <w:wordWrap/>
            <w:overflowPunct/>
            <w:topLinePunct w:val="0"/>
            <w:autoSpaceDE/>
            <w:autoSpaceDN/>
            <w:bidi w:val="0"/>
            <w:adjustRightInd/>
            <w:snapToGrid/>
            <w:spacing w:line="400" w:lineRule="exact"/>
            <w:jc w:val="distribute"/>
            <w:textAlignment w:val="auto"/>
            <w:rPr>
              <w:rFonts w:hint="default" w:ascii="Times New Roman" w:hAnsi="Times New Roman" w:cs="Times New Roman"/>
              <w:color w:val="auto"/>
              <w:sz w:val="24"/>
              <w:szCs w:val="24"/>
              <w:highlight w:val="none"/>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_Toc21225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黑体" w:cs="Times New Roman"/>
              <w:bCs/>
              <w:i w:val="0"/>
              <w:color w:val="auto"/>
              <w:sz w:val="24"/>
              <w:szCs w:val="24"/>
              <w:highlight w:val="none"/>
              <w:lang w:val="en-US"/>
            </w:rPr>
            <w:t xml:space="preserve">第九章 </w:t>
          </w:r>
          <w:r>
            <w:rPr>
              <w:rFonts w:hint="default" w:ascii="Times New Roman" w:hAnsi="Times New Roman" w:eastAsia="黑体" w:cs="Times New Roman"/>
              <w:color w:val="auto"/>
              <w:sz w:val="24"/>
              <w:szCs w:val="24"/>
              <w:highlight w:val="none"/>
            </w:rPr>
            <w:t>建设重大要素支撑体系</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_Toc21225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51</w:t>
          </w:r>
          <w:r>
            <w:rPr>
              <w:rFonts w:hint="default" w:ascii="Times New Roman" w:hAnsi="Times New Roman"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400" w:lineRule="exact"/>
            <w:jc w:val="distribute"/>
            <w:textAlignment w:val="auto"/>
            <w:rPr>
              <w:rFonts w:hint="default" w:ascii="Times New Roman" w:hAnsi="Times New Roman" w:cs="Times New Roman"/>
              <w:color w:val="auto"/>
              <w:sz w:val="24"/>
              <w:szCs w:val="24"/>
              <w:highlight w:val="none"/>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_Toc4208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黑体" w:cs="Times New Roman"/>
              <w:bCs/>
              <w:color w:val="auto"/>
              <w:sz w:val="24"/>
              <w:szCs w:val="24"/>
              <w:highlight w:val="none"/>
            </w:rPr>
            <w:t>第一节 互联互通，打造现代高效的交通网络体系</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_Toc4208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51</w:t>
          </w:r>
          <w:r>
            <w:rPr>
              <w:rFonts w:hint="default" w:ascii="Times New Roman" w:hAnsi="Times New Roman"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400" w:lineRule="exact"/>
            <w:jc w:val="distribute"/>
            <w:textAlignment w:val="auto"/>
            <w:rPr>
              <w:rFonts w:hint="default" w:ascii="Times New Roman" w:hAnsi="Times New Roman" w:cs="Times New Roman"/>
              <w:color w:val="auto"/>
              <w:sz w:val="24"/>
              <w:szCs w:val="24"/>
              <w:highlight w:val="none"/>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_Toc17161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黑体" w:cs="Times New Roman"/>
              <w:bCs/>
              <w:color w:val="auto"/>
              <w:sz w:val="24"/>
              <w:szCs w:val="24"/>
              <w:highlight w:val="none"/>
            </w:rPr>
            <w:t>第二节 完善城乡公共空间和公共服务体系</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_Toc17161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54</w:t>
          </w:r>
          <w:r>
            <w:rPr>
              <w:rFonts w:hint="default" w:ascii="Times New Roman" w:hAnsi="Times New Roman"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400" w:lineRule="exact"/>
            <w:jc w:val="distribute"/>
            <w:textAlignment w:val="auto"/>
            <w:rPr>
              <w:rFonts w:hint="default" w:ascii="Times New Roman" w:hAnsi="Times New Roman" w:cs="Times New Roman"/>
              <w:color w:val="auto"/>
              <w:sz w:val="24"/>
              <w:szCs w:val="24"/>
              <w:highlight w:val="none"/>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_Toc20646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黑体" w:cs="Times New Roman"/>
              <w:bCs/>
              <w:color w:val="auto"/>
              <w:sz w:val="24"/>
              <w:szCs w:val="24"/>
              <w:highlight w:val="none"/>
            </w:rPr>
            <w:t>第三节 促进城乡基础设施体系建设</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_Toc20646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58</w:t>
          </w:r>
          <w:r>
            <w:rPr>
              <w:rFonts w:hint="default" w:ascii="Times New Roman" w:hAnsi="Times New Roman"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400" w:lineRule="exact"/>
            <w:jc w:val="distribute"/>
            <w:textAlignment w:val="auto"/>
            <w:rPr>
              <w:rFonts w:hint="default" w:ascii="Times New Roman" w:hAnsi="Times New Roman" w:cs="Times New Roman"/>
              <w:color w:val="auto"/>
              <w:sz w:val="24"/>
              <w:szCs w:val="24"/>
              <w:highlight w:val="none"/>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_Toc17091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黑体" w:cs="Times New Roman"/>
              <w:bCs/>
              <w:color w:val="auto"/>
              <w:sz w:val="24"/>
              <w:szCs w:val="24"/>
              <w:highlight w:val="none"/>
            </w:rPr>
            <w:t>第四节 增强城乡安全韧性</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_Toc17091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62</w:t>
          </w:r>
          <w:r>
            <w:rPr>
              <w:rFonts w:hint="default" w:ascii="Times New Roman" w:hAnsi="Times New Roman"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pPr>
            <w:pStyle w:val="22"/>
            <w:keepNext w:val="0"/>
            <w:keepLines w:val="0"/>
            <w:pageBreakBefore w:val="0"/>
            <w:tabs>
              <w:tab w:val="right" w:leader="dot" w:pos="8306"/>
              <w:tab w:val="clear" w:pos="8296"/>
            </w:tabs>
            <w:kinsoku/>
            <w:wordWrap/>
            <w:overflowPunct/>
            <w:topLinePunct w:val="0"/>
            <w:autoSpaceDE/>
            <w:autoSpaceDN/>
            <w:bidi w:val="0"/>
            <w:adjustRightInd/>
            <w:snapToGrid/>
            <w:spacing w:line="400" w:lineRule="exact"/>
            <w:jc w:val="distribute"/>
            <w:textAlignment w:val="auto"/>
            <w:rPr>
              <w:rFonts w:hint="default" w:ascii="Times New Roman" w:hAnsi="Times New Roman" w:cs="Times New Roman"/>
              <w:color w:val="auto"/>
              <w:sz w:val="24"/>
              <w:szCs w:val="24"/>
              <w:highlight w:val="none"/>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_Toc14844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黑体" w:cs="Times New Roman"/>
              <w:bCs/>
              <w:i w:val="0"/>
              <w:color w:val="auto"/>
              <w:sz w:val="24"/>
              <w:szCs w:val="24"/>
              <w:highlight w:val="none"/>
              <w:lang w:val="en-US"/>
            </w:rPr>
            <w:t xml:space="preserve">第十章 </w:t>
          </w:r>
          <w:r>
            <w:rPr>
              <w:rFonts w:hint="default" w:ascii="Times New Roman" w:hAnsi="Times New Roman" w:eastAsia="黑体" w:cs="Times New Roman"/>
              <w:color w:val="auto"/>
              <w:sz w:val="24"/>
              <w:szCs w:val="24"/>
              <w:highlight w:val="none"/>
            </w:rPr>
            <w:t>推进国土综合整治与生态修复</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_Toc14844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65</w:t>
          </w:r>
          <w:r>
            <w:rPr>
              <w:rFonts w:hint="default" w:ascii="Times New Roman" w:hAnsi="Times New Roman"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400" w:lineRule="exact"/>
            <w:jc w:val="distribute"/>
            <w:textAlignment w:val="auto"/>
            <w:rPr>
              <w:rFonts w:hint="default" w:ascii="Times New Roman" w:hAnsi="Times New Roman" w:cs="Times New Roman"/>
              <w:color w:val="auto"/>
              <w:sz w:val="24"/>
              <w:szCs w:val="24"/>
              <w:highlight w:val="none"/>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_Toc20557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黑体" w:cs="Times New Roman"/>
              <w:bCs/>
              <w:color w:val="auto"/>
              <w:sz w:val="24"/>
              <w:szCs w:val="24"/>
              <w:highlight w:val="none"/>
            </w:rPr>
            <w:t>第一节 山水林田湖草系统修复</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_Toc20557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65</w:t>
          </w:r>
          <w:r>
            <w:rPr>
              <w:rFonts w:hint="default" w:ascii="Times New Roman" w:hAnsi="Times New Roman"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400" w:lineRule="exact"/>
            <w:jc w:val="distribute"/>
            <w:textAlignment w:val="auto"/>
            <w:rPr>
              <w:rFonts w:hint="default" w:ascii="Times New Roman" w:hAnsi="Times New Roman" w:cs="Times New Roman"/>
              <w:color w:val="auto"/>
              <w:sz w:val="24"/>
              <w:szCs w:val="24"/>
              <w:highlight w:val="none"/>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_Toc11095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黑体" w:cs="Times New Roman"/>
              <w:bCs/>
              <w:color w:val="auto"/>
              <w:sz w:val="24"/>
              <w:szCs w:val="24"/>
              <w:highlight w:val="none"/>
            </w:rPr>
            <w:t>第二节 国土综合整治</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_Toc11095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67</w:t>
          </w:r>
          <w:r>
            <w:rPr>
              <w:rFonts w:hint="default" w:ascii="Times New Roman" w:hAnsi="Times New Roman"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400" w:lineRule="exact"/>
            <w:jc w:val="distribute"/>
            <w:textAlignment w:val="auto"/>
            <w:rPr>
              <w:rFonts w:hint="default" w:ascii="Times New Roman" w:hAnsi="Times New Roman" w:cs="Times New Roman"/>
              <w:color w:val="auto"/>
              <w:sz w:val="24"/>
              <w:szCs w:val="24"/>
              <w:highlight w:val="none"/>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_Toc19059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黑体" w:cs="Times New Roman"/>
              <w:bCs/>
              <w:color w:val="auto"/>
              <w:sz w:val="24"/>
              <w:szCs w:val="24"/>
              <w:highlight w:val="none"/>
            </w:rPr>
            <w:t>第三节 矿山生态修复</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_Toc19059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68</w:t>
          </w:r>
          <w:r>
            <w:rPr>
              <w:rFonts w:hint="default" w:ascii="Times New Roman" w:hAnsi="Times New Roman"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pPr>
            <w:pStyle w:val="22"/>
            <w:keepNext w:val="0"/>
            <w:keepLines w:val="0"/>
            <w:pageBreakBefore w:val="0"/>
            <w:tabs>
              <w:tab w:val="right" w:leader="dot" w:pos="8306"/>
              <w:tab w:val="clear" w:pos="8296"/>
            </w:tabs>
            <w:kinsoku/>
            <w:wordWrap/>
            <w:overflowPunct/>
            <w:topLinePunct w:val="0"/>
            <w:autoSpaceDE/>
            <w:autoSpaceDN/>
            <w:bidi w:val="0"/>
            <w:adjustRightInd/>
            <w:snapToGrid/>
            <w:spacing w:line="400" w:lineRule="exact"/>
            <w:jc w:val="distribute"/>
            <w:textAlignment w:val="auto"/>
            <w:rPr>
              <w:rFonts w:hint="default" w:ascii="Times New Roman" w:hAnsi="Times New Roman" w:cs="Times New Roman"/>
              <w:color w:val="auto"/>
              <w:sz w:val="24"/>
              <w:szCs w:val="24"/>
              <w:highlight w:val="none"/>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_Toc32228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黑体" w:cs="Times New Roman"/>
              <w:bCs/>
              <w:i w:val="0"/>
              <w:color w:val="auto"/>
              <w:sz w:val="24"/>
              <w:szCs w:val="24"/>
              <w:highlight w:val="none"/>
              <w:lang w:val="en-US"/>
            </w:rPr>
            <w:t xml:space="preserve">第十一章 </w:t>
          </w:r>
          <w:r>
            <w:rPr>
              <w:rFonts w:hint="default" w:ascii="Times New Roman" w:hAnsi="Times New Roman" w:eastAsia="黑体" w:cs="Times New Roman"/>
              <w:color w:val="auto"/>
              <w:sz w:val="24"/>
              <w:szCs w:val="24"/>
              <w:highlight w:val="none"/>
            </w:rPr>
            <w:t>金碧镇国土空间规划指引</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_Toc32228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69</w:t>
          </w:r>
          <w:r>
            <w:rPr>
              <w:rFonts w:hint="default" w:ascii="Times New Roman" w:hAnsi="Times New Roman"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400" w:lineRule="exact"/>
            <w:jc w:val="distribute"/>
            <w:textAlignment w:val="auto"/>
            <w:rPr>
              <w:rFonts w:hint="default" w:ascii="Times New Roman" w:hAnsi="Times New Roman" w:cs="Times New Roman"/>
              <w:color w:val="auto"/>
              <w:sz w:val="24"/>
              <w:szCs w:val="24"/>
              <w:highlight w:val="none"/>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_Toc3317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黑体" w:cs="Times New Roman"/>
              <w:bCs/>
              <w:color w:val="auto"/>
              <w:sz w:val="24"/>
              <w:szCs w:val="24"/>
              <w:highlight w:val="none"/>
            </w:rPr>
            <w:t>第一节 镇规划定位与目标</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_Toc3317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69</w:t>
          </w:r>
          <w:r>
            <w:rPr>
              <w:rFonts w:hint="default" w:ascii="Times New Roman" w:hAnsi="Times New Roman"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400" w:lineRule="exact"/>
            <w:jc w:val="distribute"/>
            <w:textAlignment w:val="auto"/>
            <w:rPr>
              <w:rFonts w:hint="default" w:ascii="Times New Roman" w:hAnsi="Times New Roman" w:cs="Times New Roman"/>
              <w:color w:val="auto"/>
              <w:sz w:val="24"/>
              <w:szCs w:val="24"/>
              <w:highlight w:val="none"/>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_Toc4223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黑体" w:cs="Times New Roman"/>
              <w:bCs/>
              <w:color w:val="auto"/>
              <w:sz w:val="24"/>
              <w:szCs w:val="24"/>
              <w:highlight w:val="none"/>
            </w:rPr>
            <w:t>第二节 镇国土空间结构和用地布局</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_Toc4223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69</w:t>
          </w:r>
          <w:r>
            <w:rPr>
              <w:rFonts w:hint="default" w:ascii="Times New Roman" w:hAnsi="Times New Roman"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400" w:lineRule="exact"/>
            <w:jc w:val="distribute"/>
            <w:textAlignment w:val="auto"/>
            <w:rPr>
              <w:rFonts w:hint="default" w:ascii="Times New Roman" w:hAnsi="Times New Roman" w:cs="Times New Roman"/>
              <w:color w:val="auto"/>
              <w:sz w:val="24"/>
              <w:szCs w:val="24"/>
              <w:highlight w:val="none"/>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_Toc11485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黑体" w:cs="Times New Roman"/>
              <w:bCs/>
              <w:color w:val="auto"/>
              <w:sz w:val="24"/>
              <w:szCs w:val="24"/>
              <w:highlight w:val="none"/>
            </w:rPr>
            <w:t>第三节 城乡融合发展与新型城镇化</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_Toc11485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71</w:t>
          </w:r>
          <w:r>
            <w:rPr>
              <w:rFonts w:hint="default" w:ascii="Times New Roman" w:hAnsi="Times New Roman"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400" w:lineRule="exact"/>
            <w:jc w:val="distribute"/>
            <w:textAlignment w:val="auto"/>
            <w:rPr>
              <w:rFonts w:hint="default" w:ascii="Times New Roman" w:hAnsi="Times New Roman" w:cs="Times New Roman"/>
              <w:color w:val="auto"/>
              <w:sz w:val="24"/>
              <w:szCs w:val="24"/>
              <w:highlight w:val="none"/>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_Toc30531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黑体" w:cs="Times New Roman"/>
              <w:bCs/>
              <w:color w:val="auto"/>
              <w:sz w:val="24"/>
              <w:szCs w:val="24"/>
              <w:highlight w:val="none"/>
            </w:rPr>
            <w:t>第四节 镇生态修复和国土综合整治</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_Toc30531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75</w:t>
          </w:r>
          <w:r>
            <w:rPr>
              <w:rFonts w:hint="default" w:ascii="Times New Roman" w:hAnsi="Times New Roman"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pPr>
            <w:pStyle w:val="22"/>
            <w:keepNext w:val="0"/>
            <w:keepLines w:val="0"/>
            <w:pageBreakBefore w:val="0"/>
            <w:tabs>
              <w:tab w:val="right" w:leader="dot" w:pos="8306"/>
              <w:tab w:val="clear" w:pos="8296"/>
            </w:tabs>
            <w:kinsoku/>
            <w:wordWrap/>
            <w:overflowPunct/>
            <w:topLinePunct w:val="0"/>
            <w:autoSpaceDE/>
            <w:autoSpaceDN/>
            <w:bidi w:val="0"/>
            <w:adjustRightInd/>
            <w:snapToGrid/>
            <w:spacing w:line="400" w:lineRule="exact"/>
            <w:jc w:val="distribute"/>
            <w:textAlignment w:val="auto"/>
            <w:rPr>
              <w:rFonts w:hint="default" w:ascii="Times New Roman" w:hAnsi="Times New Roman" w:cs="Times New Roman"/>
              <w:color w:val="auto"/>
              <w:sz w:val="24"/>
              <w:szCs w:val="24"/>
              <w:highlight w:val="none"/>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_Toc15422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黑体" w:cs="Times New Roman"/>
              <w:bCs/>
              <w:i w:val="0"/>
              <w:color w:val="auto"/>
              <w:sz w:val="24"/>
              <w:szCs w:val="24"/>
              <w:highlight w:val="none"/>
              <w:lang w:val="en-US"/>
            </w:rPr>
            <w:t xml:space="preserve">第十二章 </w:t>
          </w:r>
          <w:r>
            <w:rPr>
              <w:rFonts w:hint="default" w:ascii="Times New Roman" w:hAnsi="Times New Roman" w:eastAsia="黑体" w:cs="Times New Roman"/>
              <w:color w:val="auto"/>
              <w:sz w:val="24"/>
              <w:szCs w:val="24"/>
              <w:highlight w:val="none"/>
            </w:rPr>
            <w:t>规划传导与实施保障</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_Toc15422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77</w:t>
          </w:r>
          <w:r>
            <w:rPr>
              <w:rFonts w:hint="default" w:ascii="Times New Roman" w:hAnsi="Times New Roman"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400" w:lineRule="exact"/>
            <w:jc w:val="distribute"/>
            <w:textAlignment w:val="auto"/>
            <w:rPr>
              <w:rFonts w:hint="default" w:ascii="Times New Roman" w:hAnsi="Times New Roman" w:cs="Times New Roman"/>
              <w:color w:val="auto"/>
              <w:sz w:val="24"/>
              <w:szCs w:val="24"/>
              <w:highlight w:val="none"/>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_Toc14519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黑体" w:cs="Times New Roman"/>
              <w:bCs/>
              <w:color w:val="auto"/>
              <w:sz w:val="24"/>
              <w:szCs w:val="24"/>
              <w:highlight w:val="none"/>
            </w:rPr>
            <w:t>第一节 县域乡镇指引</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_Toc14519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77</w:t>
          </w:r>
          <w:r>
            <w:rPr>
              <w:rFonts w:hint="default" w:ascii="Times New Roman" w:hAnsi="Times New Roman"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400" w:lineRule="exact"/>
            <w:jc w:val="distribute"/>
            <w:textAlignment w:val="auto"/>
            <w:rPr>
              <w:rFonts w:hint="default" w:ascii="Times New Roman" w:hAnsi="Times New Roman" w:cs="Times New Roman"/>
              <w:color w:val="auto"/>
              <w:sz w:val="24"/>
              <w:szCs w:val="24"/>
              <w:highlight w:val="none"/>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_Toc31042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黑体" w:cs="Times New Roman"/>
              <w:bCs/>
              <w:color w:val="auto"/>
              <w:sz w:val="24"/>
              <w:szCs w:val="24"/>
              <w:highlight w:val="none"/>
            </w:rPr>
            <w:t>第二节 详细规划指引</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_Toc31042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79</w:t>
          </w:r>
          <w:r>
            <w:rPr>
              <w:rFonts w:hint="default" w:ascii="Times New Roman" w:hAnsi="Times New Roman"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400" w:lineRule="exact"/>
            <w:jc w:val="distribute"/>
            <w:textAlignment w:val="auto"/>
            <w:rPr>
              <w:rFonts w:hint="default" w:ascii="Times New Roman" w:hAnsi="Times New Roman" w:cs="Times New Roman"/>
              <w:color w:val="auto"/>
              <w:sz w:val="24"/>
              <w:szCs w:val="24"/>
              <w:highlight w:val="none"/>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_Toc3372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黑体" w:cs="Times New Roman"/>
              <w:bCs/>
              <w:color w:val="auto"/>
              <w:sz w:val="24"/>
              <w:szCs w:val="24"/>
              <w:highlight w:val="none"/>
            </w:rPr>
            <w:t>第三节 相关专项规划指引</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_Toc3372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80</w:t>
          </w:r>
          <w:r>
            <w:rPr>
              <w:rFonts w:hint="default" w:ascii="Times New Roman" w:hAnsi="Times New Roman"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400" w:lineRule="exact"/>
            <w:jc w:val="distribute"/>
            <w:textAlignment w:val="auto"/>
            <w:rPr>
              <w:rFonts w:hint="default" w:ascii="Times New Roman" w:hAnsi="Times New Roman" w:cs="Times New Roman"/>
              <w:color w:val="auto"/>
              <w:sz w:val="24"/>
              <w:szCs w:val="24"/>
              <w:highlight w:val="none"/>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_Toc10876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黑体" w:cs="Times New Roman"/>
              <w:bCs/>
              <w:color w:val="auto"/>
              <w:sz w:val="24"/>
              <w:szCs w:val="24"/>
              <w:highlight w:val="none"/>
            </w:rPr>
            <w:t>第四节 实施保障政策与措施</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_Toc10876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80</w:t>
          </w:r>
          <w:r>
            <w:rPr>
              <w:rFonts w:hint="default" w:ascii="Times New Roman" w:hAnsi="Times New Roman"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400" w:lineRule="exact"/>
            <w:jc w:val="distribute"/>
            <w:textAlignment w:val="auto"/>
            <w:rPr>
              <w:rFonts w:hint="default" w:ascii="Times New Roman" w:hAnsi="Times New Roman" w:cs="Times New Roman"/>
              <w:color w:val="auto"/>
              <w:sz w:val="24"/>
              <w:szCs w:val="24"/>
              <w:highlight w:val="none"/>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_Toc31309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黑体" w:cs="Times New Roman"/>
              <w:bCs/>
              <w:color w:val="auto"/>
              <w:sz w:val="24"/>
              <w:szCs w:val="24"/>
              <w:highlight w:val="none"/>
            </w:rPr>
            <w:t>第五节 “一张图”实施监督信息系统建设</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_Toc31309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82</w:t>
          </w:r>
          <w:r>
            <w:rPr>
              <w:rFonts w:hint="default" w:ascii="Times New Roman" w:hAnsi="Times New Roman"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pPr>
            <w:keepNext w:val="0"/>
            <w:keepLines w:val="0"/>
            <w:pageBreakBefore w:val="0"/>
            <w:widowControl/>
            <w:kinsoku/>
            <w:wordWrap/>
            <w:overflowPunct/>
            <w:topLinePunct w:val="0"/>
            <w:autoSpaceDE/>
            <w:autoSpaceDN/>
            <w:bidi w:val="0"/>
            <w:adjustRightInd/>
            <w:snapToGrid/>
            <w:spacing w:line="400" w:lineRule="exact"/>
            <w:jc w:val="distribute"/>
            <w:textAlignment w:val="auto"/>
            <w:rPr>
              <w:rFonts w:ascii="方正小标宋简体" w:eastAsia="方正小标宋简体"/>
              <w:color w:val="auto"/>
              <w:sz w:val="32"/>
              <w:szCs w:val="32"/>
              <w:highlight w:val="none"/>
            </w:rPr>
            <w:sectPr>
              <w:headerReference r:id="rId9" w:type="default"/>
              <w:footerReference r:id="rId10" w:type="default"/>
              <w:pgSz w:w="11906" w:h="16838"/>
              <w:pgMar w:top="1440" w:right="1800" w:bottom="1440" w:left="1800" w:header="851" w:footer="992" w:gutter="0"/>
              <w:pgNumType w:start="1"/>
              <w:cols w:space="425" w:num="1"/>
              <w:docGrid w:type="lines" w:linePitch="312" w:charSpace="0"/>
            </w:sectPr>
          </w:pPr>
          <w:r>
            <w:rPr>
              <w:rFonts w:hint="default" w:ascii="Times New Roman" w:hAnsi="Times New Roman" w:eastAsia="仿宋" w:cs="Times New Roman"/>
              <w:color w:val="auto"/>
              <w:sz w:val="24"/>
              <w:szCs w:val="24"/>
              <w:highlight w:val="none"/>
            </w:rPr>
            <w:fldChar w:fldCharType="end"/>
          </w:r>
        </w:p>
      </w:sdtContent>
    </w:sdt>
    <w:p>
      <w:pPr>
        <w:spacing w:line="560" w:lineRule="exact"/>
        <w:rPr>
          <w:rFonts w:ascii="方正小标宋简体" w:eastAsia="方正小标宋简体"/>
          <w:color w:val="auto"/>
          <w:sz w:val="32"/>
          <w:szCs w:val="32"/>
          <w:highlight w:val="none"/>
        </w:rPr>
      </w:pPr>
    </w:p>
    <w:p>
      <w:pPr>
        <w:pStyle w:val="2"/>
        <w:numPr>
          <w:ilvl w:val="0"/>
          <w:numId w:val="2"/>
        </w:numPr>
        <w:spacing w:before="120" w:after="120" w:line="360" w:lineRule="auto"/>
        <w:ind w:left="0"/>
        <w:jc w:val="center"/>
        <w:rPr>
          <w:rFonts w:ascii="黑体" w:hAnsi="黑体" w:eastAsia="黑体" w:cs="黑体"/>
          <w:color w:val="auto"/>
          <w:sz w:val="36"/>
          <w:szCs w:val="36"/>
          <w:highlight w:val="none"/>
        </w:rPr>
      </w:pPr>
      <w:r>
        <w:rPr>
          <w:rFonts w:hint="eastAsia" w:ascii="黑体" w:hAnsi="黑体" w:eastAsia="黑体" w:cs="黑体"/>
          <w:color w:val="auto"/>
          <w:sz w:val="36"/>
          <w:szCs w:val="36"/>
          <w:highlight w:val="none"/>
        </w:rPr>
        <w:t xml:space="preserve"> </w:t>
      </w:r>
      <w:bookmarkStart w:id="24" w:name="_Toc28431"/>
      <w:r>
        <w:rPr>
          <w:rFonts w:hint="eastAsia" w:ascii="黑体" w:hAnsi="黑体" w:eastAsia="黑体" w:cs="黑体"/>
          <w:color w:val="auto"/>
          <w:sz w:val="36"/>
          <w:szCs w:val="36"/>
          <w:highlight w:val="none"/>
        </w:rPr>
        <w:t>国土空间基础与形势</w:t>
      </w:r>
      <w:bookmarkEnd w:id="24"/>
    </w:p>
    <w:p>
      <w:pPr>
        <w:numPr>
          <w:ilvl w:val="0"/>
          <w:numId w:val="3"/>
        </w:numPr>
        <w:spacing w:before="78" w:beforeLines="25" w:after="78" w:afterLines="25" w:line="700" w:lineRule="exact"/>
        <w:ind w:left="0" w:firstLine="0"/>
        <w:jc w:val="center"/>
        <w:outlineLvl w:val="1"/>
        <w:rPr>
          <w:rFonts w:ascii="黑体" w:hAnsi="黑体" w:eastAsia="黑体" w:cs="黑体"/>
          <w:b/>
          <w:bCs/>
          <w:color w:val="auto"/>
          <w:sz w:val="32"/>
          <w:szCs w:val="32"/>
          <w:highlight w:val="none"/>
        </w:rPr>
      </w:pPr>
      <w:bookmarkStart w:id="25" w:name="_Toc26179"/>
      <w:r>
        <w:rPr>
          <w:rFonts w:hint="eastAsia" w:ascii="黑体" w:hAnsi="黑体" w:eastAsia="黑体" w:cs="黑体"/>
          <w:b/>
          <w:bCs/>
          <w:color w:val="auto"/>
          <w:sz w:val="32"/>
          <w:szCs w:val="32"/>
          <w:highlight w:val="none"/>
        </w:rPr>
        <w:t>现状与特征</w:t>
      </w:r>
      <w:bookmarkEnd w:id="25"/>
    </w:p>
    <w:p>
      <w:pPr>
        <w:spacing w:line="560" w:lineRule="exact"/>
        <w:ind w:firstLine="640" w:firstLineChars="200"/>
        <w:rPr>
          <w:rFonts w:ascii="楷体" w:hAnsi="楷体" w:eastAsia="楷体" w:cs="楷体"/>
          <w:color w:val="auto"/>
          <w:sz w:val="32"/>
          <w:szCs w:val="32"/>
          <w:highlight w:val="none"/>
        </w:rPr>
      </w:pPr>
      <w:r>
        <w:rPr>
          <w:rFonts w:hint="eastAsia" w:ascii="楷体" w:hAnsi="楷体" w:eastAsia="楷体" w:cs="楷体"/>
          <w:color w:val="auto"/>
          <w:sz w:val="32"/>
          <w:szCs w:val="32"/>
          <w:highlight w:val="none"/>
          <w:lang w:val="en-US" w:eastAsia="zh-CN"/>
        </w:rPr>
        <w:t>滇中城市群节点城市</w:t>
      </w:r>
      <w:r>
        <w:rPr>
          <w:rFonts w:hint="eastAsia" w:ascii="楷体" w:hAnsi="楷体" w:eastAsia="楷体" w:cs="楷体"/>
          <w:color w:val="auto"/>
          <w:sz w:val="32"/>
          <w:szCs w:val="32"/>
          <w:highlight w:val="none"/>
        </w:rPr>
        <w:t>、滇中北大门重要区域。</w:t>
      </w:r>
      <w:r>
        <w:rPr>
          <w:rFonts w:hint="eastAsia" w:ascii="Times New Roman" w:hAnsi="Times New Roman" w:eastAsia="仿宋_GB2312" w:cs="Times New Roman"/>
          <w:color w:val="auto"/>
          <w:sz w:val="32"/>
          <w:szCs w:val="32"/>
          <w:highlight w:val="none"/>
        </w:rPr>
        <w:t>楚雄州大姚县</w:t>
      </w:r>
      <w:r>
        <w:rPr>
          <w:rFonts w:hint="eastAsia" w:ascii="Times New Roman" w:hAnsi="Times New Roman" w:eastAsia="仿宋_GB2312" w:cs="Times New Roman"/>
          <w:color w:val="auto"/>
          <w:sz w:val="32"/>
          <w:szCs w:val="32"/>
          <w:highlight w:val="none"/>
          <w:lang w:val="en-US" w:eastAsia="zh-CN"/>
        </w:rPr>
        <w:t>是</w:t>
      </w:r>
      <w:r>
        <w:rPr>
          <w:rFonts w:hint="eastAsia" w:ascii="Times New Roman" w:hAnsi="Times New Roman" w:eastAsia="仿宋_GB2312" w:cs="Times New Roman"/>
          <w:color w:val="auto"/>
          <w:sz w:val="32"/>
          <w:szCs w:val="32"/>
          <w:highlight w:val="none"/>
        </w:rPr>
        <w:t>滇中城市群节点城市，是连接滇中城市群与成渝双城经济圈、长江经济带的重要廊道。大姚县距州府楚雄87公里、省会昆明258公里。楚姚高速、永大高速建成通车，</w:t>
      </w:r>
      <w:bookmarkStart w:id="26" w:name="OLE_LINK1"/>
      <w:r>
        <w:rPr>
          <w:rFonts w:hint="eastAsia" w:ascii="Times New Roman" w:hAnsi="Times New Roman" w:eastAsia="仿宋_GB2312" w:cs="Times New Roman"/>
          <w:color w:val="auto"/>
          <w:sz w:val="32"/>
          <w:szCs w:val="32"/>
          <w:highlight w:val="none"/>
        </w:rPr>
        <w:t>元大高速</w:t>
      </w:r>
      <w:bookmarkEnd w:id="26"/>
      <w:r>
        <w:rPr>
          <w:rFonts w:hint="eastAsia" w:ascii="Times New Roman" w:hAnsi="Times New Roman" w:eastAsia="仿宋_GB2312" w:cs="Times New Roman"/>
          <w:color w:val="auto"/>
          <w:sz w:val="32"/>
          <w:szCs w:val="32"/>
          <w:highlight w:val="none"/>
        </w:rPr>
        <w:t>开工</w:t>
      </w:r>
      <w:r>
        <w:rPr>
          <w:rFonts w:hint="eastAsia" w:ascii="Times New Roman" w:hAnsi="Times New Roman" w:eastAsia="仿宋_GB2312" w:cs="Times New Roman"/>
          <w:color w:val="auto"/>
          <w:sz w:val="32"/>
          <w:szCs w:val="32"/>
          <w:highlight w:val="none"/>
          <w:lang w:val="en-US" w:eastAsia="zh-CN"/>
        </w:rPr>
        <w:t>建设</w:t>
      </w:r>
      <w:r>
        <w:rPr>
          <w:rFonts w:hint="eastAsia" w:ascii="Times New Roman" w:hAnsi="Times New Roman" w:eastAsia="仿宋_GB2312" w:cs="Times New Roman"/>
          <w:color w:val="auto"/>
          <w:sz w:val="32"/>
          <w:szCs w:val="32"/>
          <w:highlight w:val="none"/>
        </w:rPr>
        <w:t>。</w:t>
      </w:r>
    </w:p>
    <w:p>
      <w:pPr>
        <w:spacing w:line="560" w:lineRule="exact"/>
        <w:ind w:firstLine="640" w:firstLineChars="200"/>
        <w:rPr>
          <w:rFonts w:ascii="楷体" w:hAnsi="楷体" w:eastAsia="楷体" w:cs="楷体"/>
          <w:color w:val="auto"/>
          <w:sz w:val="32"/>
          <w:szCs w:val="32"/>
          <w:highlight w:val="none"/>
        </w:rPr>
      </w:pPr>
      <w:r>
        <w:rPr>
          <w:rFonts w:hint="eastAsia" w:ascii="楷体" w:hAnsi="楷体" w:eastAsia="楷体" w:cs="楷体"/>
          <w:color w:val="auto"/>
          <w:sz w:val="32"/>
          <w:szCs w:val="32"/>
          <w:highlight w:val="none"/>
        </w:rPr>
        <w:t>北高南低、山区地貌主导。</w:t>
      </w:r>
      <w:r>
        <w:rPr>
          <w:rFonts w:hint="eastAsia" w:ascii="Times New Roman" w:hAnsi="Times New Roman" w:eastAsia="仿宋_GB2312" w:cs="Times New Roman"/>
          <w:color w:val="auto"/>
          <w:sz w:val="32"/>
          <w:szCs w:val="32"/>
          <w:highlight w:val="none"/>
        </w:rPr>
        <w:t>大姚县境内的海拔高差较大，呈现北高南低的态势，有海拔</w:t>
      </w:r>
      <w:r>
        <w:rPr>
          <w:rFonts w:ascii="Times New Roman" w:hAnsi="Times New Roman" w:eastAsia="仿宋_GB2312" w:cs="Times New Roman"/>
          <w:color w:val="auto"/>
          <w:sz w:val="32"/>
          <w:szCs w:val="32"/>
          <w:highlight w:val="none"/>
        </w:rPr>
        <w:t>3657米的楚雄州最高峰百草岭，三级落差220米的西南第一高瀑三潭瀑布，立体气候明显。全县为山川相间的地形地貌，北部山区、中部山区和半山区、南部半山区和坝区；山坝共存，山区面积占全县国土总面积的81.70%。</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资源丰富、生态环境优美。</w:t>
      </w:r>
      <w:r>
        <w:rPr>
          <w:rFonts w:hint="eastAsia" w:ascii="Times New Roman" w:hAnsi="Times New Roman" w:eastAsia="仿宋_GB2312" w:cs="Times New Roman"/>
          <w:color w:val="auto"/>
          <w:sz w:val="32"/>
          <w:szCs w:val="32"/>
          <w:highlight w:val="none"/>
        </w:rPr>
        <w:t>大姚属于滇中、楚雄北部生态屏障，有森林资源丰富、水网密布资源充沛、拥有西南第一高瀑布、中国天然氧吧的特征。山：大姚县境内山脉为云岭余脉和川西大雪山余脉，西北部有大小百草岭，中部有昙华山。</w:t>
      </w:r>
      <w:r>
        <w:rPr>
          <w:rFonts w:ascii="Times New Roman" w:hAnsi="Times New Roman" w:eastAsia="仿宋_GB2312" w:cs="Times New Roman"/>
          <w:color w:val="auto"/>
          <w:sz w:val="32"/>
          <w:szCs w:val="32"/>
          <w:highlight w:val="none"/>
        </w:rPr>
        <w:t>水：属于金沙江流域，主要河流16条，北为金沙江、西为渔泡江、南为蜻蛉河、东部龙</w:t>
      </w:r>
      <w:r>
        <w:rPr>
          <w:rFonts w:hint="eastAsia" w:ascii="Times New Roman" w:hAnsi="Times New Roman" w:eastAsia="仿宋_GB2312" w:cs="Times New Roman"/>
          <w:color w:val="auto"/>
          <w:sz w:val="32"/>
          <w:szCs w:val="32"/>
          <w:highlight w:val="none"/>
        </w:rPr>
        <w:t>街河（水区）</w:t>
      </w:r>
      <w:r>
        <w:rPr>
          <w:rFonts w:ascii="Times New Roman" w:hAnsi="Times New Roman" w:eastAsia="仿宋_GB2312" w:cs="Times New Roman"/>
          <w:color w:val="auto"/>
          <w:sz w:val="32"/>
          <w:szCs w:val="32"/>
          <w:highlight w:val="none"/>
        </w:rPr>
        <w:t>。太阳能：多年平均日照2526小时，年平均太阳总辐射量每平方米6000兆焦，是全省12个光伏资源最佳开发县（市）之一。风：平均风速3.1米/秒，风资源居全省非高山站之首。有色金属：已探明的铜矿储量为75万金属吨，是滇中地区重要的有色金属和云铜集团的骨干生产基地。</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历史悠久，文化积淀深厚。</w:t>
      </w:r>
      <w:r>
        <w:rPr>
          <w:rFonts w:hint="eastAsia" w:ascii="Times New Roman" w:hAnsi="Times New Roman" w:eastAsia="仿宋_GB2312" w:cs="Times New Roman"/>
          <w:color w:val="auto"/>
          <w:sz w:val="32"/>
          <w:szCs w:val="32"/>
          <w:highlight w:val="none"/>
        </w:rPr>
        <w:t>西汉设置蜻蛉县，元代改称大姚县，享有“金马碧鸡故里、彝族文化发祥地和中国民间文化艺术之乡”的美誉，有孔子文化、盐文化、塔文化及民族文化，世居汉、彝、傣、傈僳、回等</w:t>
      </w:r>
      <w:r>
        <w:rPr>
          <w:rFonts w:ascii="Times New Roman" w:hAnsi="Times New Roman" w:eastAsia="仿宋_GB2312" w:cs="Times New Roman"/>
          <w:color w:val="auto"/>
          <w:sz w:val="32"/>
          <w:szCs w:val="32"/>
          <w:highlight w:val="none"/>
        </w:rPr>
        <w:t>22个民族。大姚县有省级历史文化名镇石羊镇</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中国传统村落塔苞谷么村</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百草岭生态文化保护区、三台乡彝族传统文化保护区、石羊镇传统文化保护区、昙华彝族传统文化生态保护区</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全国重点文物保护单位1处、省级文物保护单位4处、州级文物保护单位</w:t>
      </w:r>
      <w:r>
        <w:rPr>
          <w:rFonts w:hint="eastAsia" w:ascii="Times New Roman" w:hAnsi="Times New Roman" w:eastAsia="仿宋_GB2312" w:cs="Times New Roman"/>
          <w:color w:val="auto"/>
          <w:sz w:val="32"/>
          <w:szCs w:val="32"/>
          <w:highlight w:val="none"/>
        </w:rPr>
        <w:t>10</w:t>
      </w:r>
      <w:r>
        <w:rPr>
          <w:rFonts w:ascii="Times New Roman" w:hAnsi="Times New Roman" w:eastAsia="仿宋_GB2312" w:cs="Times New Roman"/>
          <w:color w:val="auto"/>
          <w:sz w:val="32"/>
          <w:szCs w:val="32"/>
          <w:highlight w:val="none"/>
        </w:rPr>
        <w:t>处、县级文物保护单位2</w:t>
      </w:r>
      <w:r>
        <w:rPr>
          <w:rFonts w:hint="eastAsia" w:ascii="Times New Roman" w:hAnsi="Times New Roman" w:eastAsia="仿宋_GB2312" w:cs="Times New Roman"/>
          <w:color w:val="auto"/>
          <w:sz w:val="32"/>
          <w:szCs w:val="32"/>
          <w:highlight w:val="none"/>
        </w:rPr>
        <w:t>5</w:t>
      </w:r>
      <w:r>
        <w:rPr>
          <w:rFonts w:ascii="Times New Roman" w:hAnsi="Times New Roman" w:eastAsia="仿宋_GB2312" w:cs="Times New Roman"/>
          <w:color w:val="auto"/>
          <w:sz w:val="32"/>
          <w:szCs w:val="32"/>
          <w:highlight w:val="none"/>
        </w:rPr>
        <w:t>处和未定级文物保护单位33处</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历史建筑8处</w:t>
      </w:r>
      <w:r>
        <w:rPr>
          <w:rFonts w:hint="eastAsia" w:ascii="Times New Roman" w:hAnsi="Times New Roman" w:eastAsia="仿宋_GB2312" w:cs="Times New Roman"/>
          <w:color w:val="auto"/>
          <w:sz w:val="32"/>
          <w:szCs w:val="32"/>
          <w:highlight w:val="none"/>
        </w:rPr>
        <w:t>。</w:t>
      </w:r>
    </w:p>
    <w:p>
      <w:pPr>
        <w:numPr>
          <w:ilvl w:val="0"/>
          <w:numId w:val="3"/>
        </w:numPr>
        <w:spacing w:before="78" w:beforeLines="25" w:after="78" w:afterLines="25" w:line="700" w:lineRule="exact"/>
        <w:ind w:left="0" w:firstLine="0"/>
        <w:jc w:val="center"/>
        <w:outlineLvl w:val="1"/>
        <w:rPr>
          <w:rFonts w:ascii="黑体" w:hAnsi="黑体" w:eastAsia="黑体" w:cs="黑体"/>
          <w:b/>
          <w:bCs/>
          <w:color w:val="auto"/>
          <w:sz w:val="32"/>
          <w:szCs w:val="32"/>
          <w:highlight w:val="none"/>
        </w:rPr>
      </w:pPr>
      <w:bookmarkStart w:id="27" w:name="_Toc25887"/>
      <w:r>
        <w:rPr>
          <w:rFonts w:hint="eastAsia" w:ascii="黑体" w:hAnsi="黑体" w:eastAsia="黑体" w:cs="黑体"/>
          <w:b/>
          <w:bCs/>
          <w:color w:val="auto"/>
          <w:sz w:val="32"/>
          <w:szCs w:val="32"/>
          <w:highlight w:val="none"/>
        </w:rPr>
        <w:t>机遇与挑战</w:t>
      </w:r>
      <w:bookmarkEnd w:id="27"/>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一、发展机遇</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国家开发开放战略深入实施带来的机遇。</w:t>
      </w:r>
      <w:r>
        <w:rPr>
          <w:rFonts w:hint="eastAsia" w:ascii="Times New Roman" w:hAnsi="Times New Roman" w:eastAsia="仿宋_GB2312" w:cs="Times New Roman"/>
          <w:color w:val="auto"/>
          <w:sz w:val="32"/>
          <w:szCs w:val="32"/>
          <w:highlight w:val="none"/>
        </w:rPr>
        <w:t>我国已转向高质量发展阶段，我国仍然处于重要战略机遇期，党的二十大提出，以中国式现代化全面推进中华民族伟大复兴。以国内大循环为主体、国内国际双循环相互促进的新发展格局加快构建，随着“一带一路”建设、长江经济带、新一轮西部大开发、生态文明建设、区域协调发展、新型城镇化、乡村振兴等重大战略深入实施，以及习近平总书记两次考察云南重要讲话和指示批示精神，并对云南提出“一个跨越”“三个定位”“五个着力”的要求，有利于云南及大姚县吸引更多发展要素汇聚，奠定云南主动服务和全面融入国家发展战略的坚实基础，将为大姚县战略目标的实施创造更加积极有利的发展环境。</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云南省发展战略深入实施带来的机遇。</w:t>
      </w:r>
      <w:r>
        <w:rPr>
          <w:rFonts w:hint="eastAsia" w:ascii="Times New Roman" w:hAnsi="Times New Roman" w:eastAsia="仿宋_GB2312" w:cs="Times New Roman"/>
          <w:color w:val="auto"/>
          <w:sz w:val="32"/>
          <w:szCs w:val="32"/>
          <w:highlight w:val="none"/>
        </w:rPr>
        <w:t>省委深入贯彻党的二十大精神，科学围绕“3815”战略发展目标，聚焦瓶颈补短板，突出关键强弱项，深挖潜能扬优势，守牢底线保安全，对实施产业强省、绿色能源强省、绿色农业强省、文化旅游强省、生物产业强省、教育强省、人才强省、健康云南、兴水润滇、民族团结进步示范区、法治云南等做出了部署。大姚县是全国绿色能源示范县，全省第一批美丽县城，全省系列重大部署实施的受益地区之一，云南省一系列的重大战略调整将为大姚县经济社会发展增添新动能。</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楚雄州发展战略深入实施带来的机遇。</w:t>
      </w:r>
      <w:r>
        <w:rPr>
          <w:rFonts w:hint="eastAsia" w:ascii="Times New Roman" w:hAnsi="Times New Roman" w:eastAsia="仿宋_GB2312" w:cs="Times New Roman"/>
          <w:color w:val="auto"/>
          <w:sz w:val="32"/>
          <w:szCs w:val="32"/>
          <w:highlight w:val="none"/>
        </w:rPr>
        <w:t>州委立足楚雄实际，打造滇中崛起增长极、现代农业示范区、绿色能源与绿色制造融合发展示范区、民族团结进步示范区，推进产业强州、交通强州、科教强州、人才强州、文化强州建设，打造创新楚雄、开放楚雄、诚信楚雄、绿美楚雄、幸福楚雄。楚姚高速建成通车，全面实现与周边区域高等级公路互联互通目标，永大高速建成通车，元大高速开工</w:t>
      </w:r>
      <w:r>
        <w:rPr>
          <w:rFonts w:hint="eastAsia" w:ascii="Times New Roman" w:hAnsi="Times New Roman" w:eastAsia="仿宋_GB2312" w:cs="Times New Roman"/>
          <w:color w:val="auto"/>
          <w:sz w:val="32"/>
          <w:szCs w:val="32"/>
          <w:highlight w:val="none"/>
          <w:lang w:val="en-US" w:eastAsia="zh-CN"/>
        </w:rPr>
        <w:t>建设</w:t>
      </w:r>
      <w:r>
        <w:rPr>
          <w:rFonts w:hint="eastAsia" w:ascii="Times New Roman" w:hAnsi="Times New Roman" w:eastAsia="仿宋_GB2312" w:cs="Times New Roman"/>
          <w:color w:val="auto"/>
          <w:sz w:val="32"/>
          <w:szCs w:val="32"/>
          <w:highlight w:val="none"/>
        </w:rPr>
        <w:t>，大攀高速、华永高速前期工作扎实推进，制约大姚发展的交通瓶颈将有效破解。加快金沙江流域开发，与周边抱团发展，共同打造滇中对外开放北大门，主动承接成渝双城经济圈、滇中城市经济圈。</w:t>
      </w:r>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二、面临挑战</w:t>
      </w:r>
    </w:p>
    <w:p>
      <w:pPr>
        <w:spacing w:line="560" w:lineRule="exact"/>
        <w:ind w:firstLine="640" w:firstLineChars="200"/>
        <w:rPr>
          <w:color w:val="auto"/>
          <w:highlight w:val="none"/>
        </w:rPr>
      </w:pPr>
      <w:r>
        <w:rPr>
          <w:rFonts w:hint="eastAsia" w:ascii="楷体" w:hAnsi="楷体" w:eastAsia="楷体" w:cs="楷体"/>
          <w:color w:val="auto"/>
          <w:sz w:val="32"/>
          <w:szCs w:val="32"/>
          <w:highlight w:val="none"/>
        </w:rPr>
        <w:t>气候变化和灾害风险带来的挑战。</w:t>
      </w:r>
      <w:r>
        <w:rPr>
          <w:rFonts w:hint="eastAsia" w:ascii="Times New Roman" w:hAnsi="Times New Roman" w:eastAsia="仿宋_GB2312" w:cs="Times New Roman"/>
          <w:color w:val="auto"/>
          <w:sz w:val="32"/>
          <w:szCs w:val="32"/>
          <w:highlight w:val="none"/>
        </w:rPr>
        <w:t>大姚地处山区，地形地貌悬殊、地质构造复杂，大姚气候复杂多变，原生环境脆弱，面临地震、气象灾害、地质灾害、森林火灾等自然灾害风险趋高，大姚县属全省地震重点监测防御地区，地质灾害点多面广、隐蔽性强。受全球气候变化影响，极端天气气候事件的发生次数可能继续增多。这些均对全县国土安全带来挑战。</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发展不平衡带来的挑战。</w:t>
      </w:r>
      <w:r>
        <w:rPr>
          <w:rFonts w:hint="eastAsia" w:ascii="Times New Roman" w:hAnsi="Times New Roman" w:eastAsia="仿宋_GB2312" w:cs="Times New Roman"/>
          <w:color w:val="auto"/>
          <w:sz w:val="32"/>
          <w:szCs w:val="32"/>
          <w:highlight w:val="none"/>
        </w:rPr>
        <w:t>随着国家和云南省、楚雄州系列重大发展战略深入实施，区域竞争将日益激烈，与周边区域相比，无论是经济总量，还是发展质量和潜力，都有一定差距，区位优势尚未转化为经济优势，对周边生产要素的吸附能力明显弱于经济实力较强的区域，在区域发展竞争中面临被“虹吸”的危险。</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耕地保护形势带来的挑战。</w:t>
      </w:r>
      <w:r>
        <w:rPr>
          <w:rFonts w:hint="eastAsia" w:ascii="Times New Roman" w:hAnsi="Times New Roman" w:eastAsia="仿宋_GB2312" w:cs="Times New Roman"/>
          <w:color w:val="auto"/>
          <w:sz w:val="32"/>
          <w:szCs w:val="32"/>
          <w:highlight w:val="none"/>
        </w:rPr>
        <w:t>大姚是传统农业大县，耕地和永久基本农田面临更高的保护要求，耕地非农化面临挑战。同时又要构建长江上游重要生态安全屏障，生态保护压力不断加大，打造高原特色农业也面临挑战。</w:t>
      </w:r>
    </w:p>
    <w:p>
      <w:pPr>
        <w:spacing w:line="560" w:lineRule="exact"/>
        <w:ind w:firstLine="640" w:firstLineChars="200"/>
        <w:rPr>
          <w:color w:val="auto"/>
          <w:highlight w:val="none"/>
        </w:rPr>
      </w:pPr>
      <w:r>
        <w:rPr>
          <w:rFonts w:hint="eastAsia" w:ascii="楷体" w:hAnsi="楷体" w:eastAsia="楷体" w:cs="楷体"/>
          <w:color w:val="auto"/>
          <w:sz w:val="32"/>
          <w:szCs w:val="32"/>
          <w:highlight w:val="none"/>
        </w:rPr>
        <w:t>生态环境制约带来的挑战。</w:t>
      </w:r>
      <w:r>
        <w:rPr>
          <w:rFonts w:hint="eastAsia" w:ascii="Times New Roman" w:hAnsi="Times New Roman" w:eastAsia="仿宋_GB2312" w:cs="Times New Roman"/>
          <w:color w:val="auto"/>
          <w:sz w:val="32"/>
          <w:szCs w:val="32"/>
          <w:highlight w:val="none"/>
        </w:rPr>
        <w:t>大姚县作为国家重点生态功能区县、</w:t>
      </w:r>
      <w:bookmarkStart w:id="28" w:name="_Hlk74500191"/>
      <w:r>
        <w:rPr>
          <w:rFonts w:hint="eastAsia" w:ascii="Times New Roman" w:hAnsi="Times New Roman" w:eastAsia="仿宋_GB2312" w:cs="Times New Roman"/>
          <w:color w:val="auto"/>
          <w:sz w:val="32"/>
          <w:szCs w:val="32"/>
          <w:highlight w:val="none"/>
        </w:rPr>
        <w:t>长江上游重要生态安全屏障</w:t>
      </w:r>
      <w:bookmarkEnd w:id="28"/>
      <w:r>
        <w:rPr>
          <w:rFonts w:hint="eastAsia" w:ascii="Times New Roman" w:hAnsi="Times New Roman" w:eastAsia="仿宋_GB2312" w:cs="Times New Roman"/>
          <w:color w:val="auto"/>
          <w:sz w:val="32"/>
          <w:szCs w:val="32"/>
          <w:highlight w:val="none"/>
        </w:rPr>
        <w:t>，生态保护的任务也繁重。大姚县面临既要加快发展、又要保护环境，既要提高人民生活水平、又要走可持续发展道路的双重挑战。</w:t>
      </w:r>
    </w:p>
    <w:p>
      <w:pPr>
        <w:spacing w:line="560" w:lineRule="exact"/>
        <w:ind w:firstLine="640" w:firstLineChars="200"/>
        <w:rPr>
          <w:rFonts w:ascii="楷体" w:hAnsi="楷体" w:eastAsia="仿宋_GB2312" w:cs="楷体"/>
          <w:b/>
          <w:bCs/>
          <w:color w:val="auto"/>
          <w:sz w:val="32"/>
          <w:szCs w:val="32"/>
          <w:highlight w:val="none"/>
        </w:rPr>
      </w:pPr>
      <w:r>
        <w:rPr>
          <w:rFonts w:hint="eastAsia" w:ascii="楷体" w:hAnsi="楷体" w:eastAsia="楷体" w:cs="楷体"/>
          <w:color w:val="auto"/>
          <w:sz w:val="32"/>
          <w:szCs w:val="32"/>
          <w:highlight w:val="none"/>
        </w:rPr>
        <w:t>产业转型升级压力带来的挑战。</w:t>
      </w:r>
      <w:r>
        <w:rPr>
          <w:rFonts w:hint="eastAsia" w:ascii="Times New Roman" w:hAnsi="Times New Roman" w:eastAsia="仿宋_GB2312" w:cs="Times New Roman"/>
          <w:color w:val="auto"/>
          <w:sz w:val="32"/>
          <w:szCs w:val="32"/>
          <w:highlight w:val="none"/>
        </w:rPr>
        <w:t>大姚县产业转型升级面临压力，“一产不优、二产不强、三产较弱”的问题还依然突出。重大产业项目少，缺乏推动工业化、城镇化快速发展的支撑项目。产业创新能力偏弱，产业发展链条短，融合发展能力弱，重点产业产品单一，发展粗放，企业之间的产品缺乏关联性和配套性，尚未形成与重点产业和重点企业相配套的产业集群。</w:t>
      </w:r>
    </w:p>
    <w:p>
      <w:pPr>
        <w:widowControl/>
        <w:jc w:val="left"/>
        <w:rPr>
          <w:rFonts w:ascii="宋体" w:hAnsi="宋体" w:eastAsia="宋体"/>
          <w:color w:val="auto"/>
          <w:sz w:val="30"/>
          <w:szCs w:val="30"/>
          <w:highlight w:val="none"/>
        </w:rPr>
      </w:pPr>
      <w:r>
        <w:rPr>
          <w:rFonts w:ascii="宋体" w:hAnsi="宋体" w:eastAsia="宋体"/>
          <w:color w:val="auto"/>
          <w:sz w:val="30"/>
          <w:szCs w:val="30"/>
          <w:highlight w:val="none"/>
        </w:rPr>
        <w:br w:type="page"/>
      </w:r>
    </w:p>
    <w:p>
      <w:pPr>
        <w:pStyle w:val="2"/>
        <w:numPr>
          <w:ilvl w:val="0"/>
          <w:numId w:val="2"/>
        </w:numPr>
        <w:spacing w:before="120" w:after="120" w:line="360" w:lineRule="auto"/>
        <w:ind w:left="0"/>
        <w:jc w:val="center"/>
        <w:rPr>
          <w:rFonts w:ascii="黑体" w:hAnsi="黑体" w:eastAsia="黑体" w:cs="黑体"/>
          <w:color w:val="auto"/>
          <w:sz w:val="36"/>
          <w:szCs w:val="36"/>
          <w:highlight w:val="none"/>
        </w:rPr>
      </w:pPr>
      <w:r>
        <w:rPr>
          <w:rFonts w:hint="eastAsia" w:ascii="黑体" w:hAnsi="黑体" w:eastAsia="黑体" w:cs="黑体"/>
          <w:color w:val="auto"/>
          <w:sz w:val="36"/>
          <w:szCs w:val="36"/>
          <w:highlight w:val="none"/>
        </w:rPr>
        <w:t xml:space="preserve"> </w:t>
      </w:r>
      <w:bookmarkStart w:id="29" w:name="_Toc6289"/>
      <w:r>
        <w:rPr>
          <w:rFonts w:hint="eastAsia" w:ascii="黑体" w:hAnsi="黑体" w:eastAsia="黑体" w:cs="黑体"/>
          <w:color w:val="auto"/>
          <w:sz w:val="36"/>
          <w:szCs w:val="36"/>
          <w:highlight w:val="none"/>
        </w:rPr>
        <w:t>国土空间总体目标与战略</w:t>
      </w:r>
      <w:bookmarkEnd w:id="29"/>
    </w:p>
    <w:p>
      <w:pPr>
        <w:numPr>
          <w:ilvl w:val="0"/>
          <w:numId w:val="4"/>
        </w:numPr>
        <w:spacing w:before="78" w:beforeLines="25" w:after="78" w:afterLines="25" w:line="700" w:lineRule="exact"/>
        <w:ind w:left="0" w:firstLine="0"/>
        <w:jc w:val="center"/>
        <w:outlineLvl w:val="1"/>
        <w:rPr>
          <w:rFonts w:ascii="黑体" w:hAnsi="黑体" w:eastAsia="黑体" w:cs="黑体"/>
          <w:b/>
          <w:bCs/>
          <w:color w:val="auto"/>
          <w:sz w:val="32"/>
          <w:szCs w:val="32"/>
          <w:highlight w:val="none"/>
        </w:rPr>
      </w:pPr>
      <w:bookmarkStart w:id="30" w:name="_Toc5593"/>
      <w:r>
        <w:rPr>
          <w:rFonts w:hint="eastAsia" w:ascii="黑体" w:hAnsi="黑体" w:eastAsia="黑体" w:cs="黑体"/>
          <w:b/>
          <w:bCs/>
          <w:color w:val="auto"/>
          <w:sz w:val="32"/>
          <w:szCs w:val="32"/>
          <w:highlight w:val="none"/>
        </w:rPr>
        <w:t>指导思想</w:t>
      </w:r>
      <w:bookmarkEnd w:id="30"/>
    </w:p>
    <w:p>
      <w:pPr>
        <w:spacing w:line="560" w:lineRule="exact"/>
        <w:ind w:firstLine="640" w:firstLineChars="200"/>
        <w:rPr>
          <w:color w:val="auto"/>
          <w:highlight w:val="none"/>
        </w:rPr>
      </w:pPr>
      <w:r>
        <w:rPr>
          <w:rFonts w:hint="eastAsia" w:ascii="Times New Roman" w:hAnsi="Times New Roman" w:eastAsia="仿宋_GB2312" w:cs="Times New Roman"/>
          <w:color w:val="auto"/>
          <w:sz w:val="32"/>
          <w:szCs w:val="32"/>
          <w:highlight w:val="none"/>
        </w:rPr>
        <w:t>高举中国特色社会主义伟大旗帜，以习近平新时代中国特色社会主义思想为指导，全面贯彻落实党的二十大精神，深入贯彻落实习近平总书记两次考察云南重要讲话和指示批示精神，认真贯彻落实省委“3815”战略发展目标、州委“一极三区”具体要求和县委“12345”发展思路，统筹推进“五位一体”总体布局和协调推进“四个全面”战略布局，立足新发展阶段，完整、准确、全面贯彻新发展理念，坚持以人民为中心，统筹发展和安全，以推动高质量跨越式发展为主题，构建和完善全县国土空间开发保护总体格局，全面提升国土空间治理能力现代化水平，实现国土空间开发保护更高质量、更有效率、更加公平、更可持续，为大姚县高质量跨越式发展提供空间保障。</w:t>
      </w:r>
    </w:p>
    <w:p>
      <w:pPr>
        <w:numPr>
          <w:ilvl w:val="0"/>
          <w:numId w:val="4"/>
        </w:numPr>
        <w:spacing w:before="78" w:beforeLines="25" w:after="78" w:afterLines="25" w:line="700" w:lineRule="exact"/>
        <w:ind w:left="0" w:firstLine="0"/>
        <w:jc w:val="center"/>
        <w:outlineLvl w:val="1"/>
        <w:rPr>
          <w:rFonts w:ascii="黑体" w:hAnsi="黑体" w:eastAsia="黑体" w:cs="黑体"/>
          <w:b/>
          <w:bCs/>
          <w:color w:val="auto"/>
          <w:sz w:val="32"/>
          <w:szCs w:val="32"/>
          <w:highlight w:val="none"/>
        </w:rPr>
      </w:pPr>
      <w:bookmarkStart w:id="31" w:name="_Toc8217"/>
      <w:r>
        <w:rPr>
          <w:rFonts w:hint="eastAsia" w:ascii="黑体" w:hAnsi="黑体" w:eastAsia="黑体" w:cs="黑体"/>
          <w:b/>
          <w:bCs/>
          <w:color w:val="auto"/>
          <w:sz w:val="32"/>
          <w:szCs w:val="32"/>
          <w:highlight w:val="none"/>
        </w:rPr>
        <w:t>空间战略</w:t>
      </w:r>
      <w:bookmarkEnd w:id="31"/>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一、底线约束，内涵发展</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立足资源环境承载能力，严格落实各类底线约束和管控要求，严格在“三区三线”约束下开展国土空间开发保护建设。严格保护山水本底，加大对生态重要以及生态敏感地区的保护力度，加快推进金沙江及分支流域生态修复与治理；严守生态保护红线和永久基本农田保护要求，严格保护重要水源涵养、生物多样性维护、水土保持等生态功能极重要区域，支撑大姚县地处长江经济带上游生态屏障维育；严格控制全县国土空间开发强度，有效盘活存量用地，引导向内涵型、集约式、绿色化发展。</w:t>
      </w:r>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二、区域协同，开放互联</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立足国家、省、州重大战略，抢抓重大基础设施发展机遇，强化枢纽地位和区位优势，依托“四纵四横”路网建设,变交通末梢为开放前沿，加强与大理、四川攀西地区合作，促进内融外联、推动产业协作、培育竞争优势，形成差异化产业结构，打造滇中对外开放“北大门”。发挥大姚位于大滇西旅游环线和金沙江经济带重要节点区位优势，促进与元谋、永仁等县市产业链、供应链、价值链深度融合，提高对人流、物流、资金流、信息流等要素资源的集聚和整合能力，构建要素高频互动、资源高效配置、服务高度配套的融合联动经济走廊。</w:t>
      </w:r>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三、城乡统筹，共享宜居</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坚持以人民为中心</w:t>
      </w:r>
      <w:r>
        <w:rPr>
          <w:rFonts w:hint="eastAsia" w:ascii="Times New Roman" w:hAnsi="Times New Roman" w:eastAsia="仿宋_GB2312" w:cs="Times New Roman"/>
          <w:color w:val="auto"/>
          <w:sz w:val="32"/>
          <w:szCs w:val="32"/>
          <w:highlight w:val="none"/>
        </w:rPr>
        <w:t>的发展思想</w:t>
      </w:r>
      <w:r>
        <w:rPr>
          <w:rFonts w:ascii="Times New Roman" w:hAnsi="Times New Roman" w:eastAsia="仿宋_GB2312" w:cs="Times New Roman"/>
          <w:color w:val="auto"/>
          <w:sz w:val="32"/>
          <w:szCs w:val="32"/>
          <w:highlight w:val="none"/>
        </w:rPr>
        <w:t>，聚焦人民群众</w:t>
      </w:r>
      <w:r>
        <w:rPr>
          <w:rFonts w:hint="eastAsia" w:ascii="Times New Roman" w:hAnsi="Times New Roman" w:eastAsia="仿宋_GB2312" w:cs="Times New Roman"/>
          <w:color w:val="auto"/>
          <w:sz w:val="32"/>
          <w:szCs w:val="32"/>
          <w:highlight w:val="none"/>
        </w:rPr>
        <w:t>发展</w:t>
      </w:r>
      <w:r>
        <w:rPr>
          <w:rFonts w:ascii="Times New Roman" w:hAnsi="Times New Roman" w:eastAsia="仿宋_GB2312" w:cs="Times New Roman"/>
          <w:color w:val="auto"/>
          <w:sz w:val="32"/>
          <w:szCs w:val="32"/>
          <w:highlight w:val="none"/>
        </w:rPr>
        <w:t>需求，提升民生福祉，改善人居环境，提高</w:t>
      </w:r>
      <w:r>
        <w:rPr>
          <w:rFonts w:hint="eastAsia" w:ascii="Times New Roman" w:hAnsi="Times New Roman" w:eastAsia="仿宋_GB2312" w:cs="Times New Roman"/>
          <w:color w:val="auto"/>
          <w:sz w:val="32"/>
          <w:szCs w:val="32"/>
          <w:highlight w:val="none"/>
        </w:rPr>
        <w:t>城乡</w:t>
      </w:r>
      <w:r>
        <w:rPr>
          <w:rFonts w:ascii="Times New Roman" w:hAnsi="Times New Roman" w:eastAsia="仿宋_GB2312" w:cs="Times New Roman"/>
          <w:color w:val="auto"/>
          <w:sz w:val="32"/>
          <w:szCs w:val="32"/>
          <w:highlight w:val="none"/>
        </w:rPr>
        <w:t>品质和安全韧性。</w:t>
      </w:r>
      <w:r>
        <w:rPr>
          <w:rFonts w:hint="eastAsia" w:ascii="Times New Roman" w:hAnsi="Times New Roman" w:eastAsia="仿宋_GB2312" w:cs="Times New Roman"/>
          <w:color w:val="auto"/>
          <w:sz w:val="32"/>
          <w:szCs w:val="32"/>
          <w:highlight w:val="none"/>
        </w:rPr>
        <w:t>落实新型城镇化和乡村振兴战略要求，</w:t>
      </w:r>
      <w:r>
        <w:rPr>
          <w:rFonts w:ascii="Times New Roman" w:hAnsi="Times New Roman" w:eastAsia="仿宋_GB2312" w:cs="Times New Roman"/>
          <w:color w:val="auto"/>
          <w:sz w:val="32"/>
          <w:szCs w:val="32"/>
          <w:highlight w:val="none"/>
        </w:rPr>
        <w:t>统筹城乡发展，不断完善多层次、高水平的公共服务体系，推动</w:t>
      </w:r>
      <w:r>
        <w:rPr>
          <w:rFonts w:hint="eastAsia" w:ascii="Times New Roman" w:hAnsi="Times New Roman" w:eastAsia="仿宋_GB2312" w:cs="Times New Roman"/>
          <w:color w:val="auto"/>
          <w:sz w:val="32"/>
          <w:szCs w:val="32"/>
          <w:highlight w:val="none"/>
        </w:rPr>
        <w:t>高品质</w:t>
      </w:r>
      <w:r>
        <w:rPr>
          <w:rFonts w:ascii="Times New Roman" w:hAnsi="Times New Roman" w:eastAsia="仿宋_GB2312" w:cs="Times New Roman"/>
          <w:color w:val="auto"/>
          <w:sz w:val="32"/>
          <w:szCs w:val="32"/>
          <w:highlight w:val="none"/>
        </w:rPr>
        <w:t>社区生活圈基本公共服务设施共享。统筹传统基础设施和新型基础设施建设，构建集约高效、智能绿色、安全可靠的现代化基础设施体系。统筹历史文化和自然生态资源保护发展，营造山清水秀、特色鲜明、宜居宜业的</w:t>
      </w:r>
      <w:r>
        <w:rPr>
          <w:rFonts w:hint="eastAsia" w:ascii="Times New Roman" w:hAnsi="Times New Roman" w:eastAsia="仿宋_GB2312" w:cs="Times New Roman"/>
          <w:color w:val="auto"/>
          <w:sz w:val="32"/>
          <w:szCs w:val="32"/>
          <w:highlight w:val="none"/>
        </w:rPr>
        <w:t>城乡</w:t>
      </w:r>
      <w:r>
        <w:rPr>
          <w:rFonts w:ascii="Times New Roman" w:hAnsi="Times New Roman" w:eastAsia="仿宋_GB2312" w:cs="Times New Roman"/>
          <w:color w:val="auto"/>
          <w:sz w:val="32"/>
          <w:szCs w:val="32"/>
          <w:highlight w:val="none"/>
        </w:rPr>
        <w:t>环境，切实提升人民的安全感、获得感、幸福感。</w:t>
      </w:r>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四、高效治理，智慧管控</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站在人与自然和谐共生的高度谋划发展，将土地全生命周期管理理念贯穿国土空间规划编制实施管理全过程，逐步转变发展思维，推动空间拓展从“增量发展”转向“增存并举”和“盘活存量”，科学构建城乡融合发展格局和城区空间结构，塑造高品质、集约节约的大姚国土空间。强化规划之间的衔接与传导，以数字化助力智慧国土空间治理，依托“一张图”信息平台，为实现可感知、能学习、善治理和自适应的智慧城市提供重要支撑，加快构建高质量国土空间治理现代化新格局。</w:t>
      </w:r>
    </w:p>
    <w:p>
      <w:pPr>
        <w:numPr>
          <w:ilvl w:val="0"/>
          <w:numId w:val="4"/>
        </w:numPr>
        <w:spacing w:before="78" w:beforeLines="25" w:after="78" w:afterLines="25" w:line="700" w:lineRule="exact"/>
        <w:ind w:left="0" w:firstLine="0"/>
        <w:jc w:val="center"/>
        <w:outlineLvl w:val="1"/>
        <w:rPr>
          <w:rFonts w:ascii="黑体" w:hAnsi="黑体" w:eastAsia="黑体" w:cs="黑体"/>
          <w:b/>
          <w:bCs/>
          <w:color w:val="auto"/>
          <w:sz w:val="32"/>
          <w:szCs w:val="32"/>
          <w:highlight w:val="none"/>
        </w:rPr>
      </w:pPr>
      <w:bookmarkStart w:id="32" w:name="_Toc24641"/>
      <w:r>
        <w:rPr>
          <w:rFonts w:hint="eastAsia" w:ascii="黑体" w:hAnsi="黑体" w:eastAsia="黑体" w:cs="黑体"/>
          <w:b/>
          <w:bCs/>
          <w:color w:val="auto"/>
          <w:sz w:val="32"/>
          <w:szCs w:val="32"/>
          <w:highlight w:val="none"/>
        </w:rPr>
        <w:t>总体定位</w:t>
      </w:r>
      <w:bookmarkEnd w:id="32"/>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一、总体定位</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全国民族团结进步示范区；国家生态文明建设示范区；全省重要的绿色产业基地；滇中对外开放北大门。</w:t>
      </w:r>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二、城市定位</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持续巩固大姚美丽县城建设成果，全力创建全国文明城市、全省“一县一业”核桃示范县，着力打造全省绿色食品基地、云南绿色能源基地、省级康养旅游示范区、南山坝装备制造产业园，擦亮“中国核桃之乡”名片，把大姚建成颐养之地、康养之城。</w:t>
      </w:r>
    </w:p>
    <w:p>
      <w:pPr>
        <w:keepNext/>
        <w:keepLines/>
        <w:numPr>
          <w:ilvl w:val="0"/>
          <w:numId w:val="4"/>
        </w:numPr>
        <w:spacing w:before="78" w:beforeLines="25" w:after="78" w:afterLines="25" w:line="700" w:lineRule="exact"/>
        <w:ind w:left="0" w:firstLine="0"/>
        <w:jc w:val="center"/>
        <w:outlineLvl w:val="1"/>
        <w:rPr>
          <w:rFonts w:ascii="黑体" w:hAnsi="黑体" w:eastAsia="黑体" w:cs="黑体"/>
          <w:b/>
          <w:bCs/>
          <w:color w:val="auto"/>
          <w:sz w:val="32"/>
          <w:szCs w:val="32"/>
          <w:highlight w:val="none"/>
        </w:rPr>
      </w:pPr>
      <w:bookmarkStart w:id="33" w:name="_Toc4990"/>
      <w:r>
        <w:rPr>
          <w:rFonts w:hint="eastAsia" w:ascii="黑体" w:hAnsi="黑体" w:eastAsia="黑体" w:cs="黑体"/>
          <w:b/>
          <w:bCs/>
          <w:color w:val="auto"/>
          <w:sz w:val="32"/>
          <w:szCs w:val="32"/>
          <w:highlight w:val="none"/>
        </w:rPr>
        <w:t>规划目标</w:t>
      </w:r>
      <w:bookmarkEnd w:id="33"/>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优化国土空间布局，强化资源保护和利用，打造魅力低碳生态空间、绿色高效农业空间和高品质城镇生产生活空间，将大姚建设成为生态环境优美、高原特色农业优势显著、城镇体系结构优化、城乡融合发展科学有序、地域文化特色显著、拥有现代化空间治理能力的社会主义现代化大姚。</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到2025年，初步形成大姚县高质量发展的国土空间格局。绿色食品、绿色能源、康养旅游和装备制造四大重点产业对经济社会发展的支柱作用充分凸显，交通、水利瓶颈得到充分破解，现代化基础设施体系一体化基本形成，生态环境不断改善，民生福祉达到新水平，社会治理体系更加健全，高质量跨越式发展迈上新台阶。</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到2035年，魅力国土空间格局全面形成，生态空间安全稳固，农业空间绿色高效，城乡空间品质优越，大姚县国土空间治理体系和治理能力现代化基本实现。在全面建成小康社会基础上，经过三个五年规划的接续奋斗，闯出一条高质量跨越式发展新路子，基本实现新型工业化、信息化、城镇化、农业现代化，基本公共服务实现均等化，全县各族人民共同富裕取得更为明显的实质性进展，与全国全省全州同步基本实现社会主义现代化。</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远景展望至2050年，大姚县城乡互补、区域互通、生产生活生态空间协调有序，国土空间全域全要素有机融合。</w:t>
      </w:r>
    </w:p>
    <w:p>
      <w:pPr>
        <w:widowControl/>
        <w:jc w:val="left"/>
        <w:rPr>
          <w:rFonts w:ascii="宋体" w:hAnsi="宋体" w:eastAsia="宋体"/>
          <w:color w:val="auto"/>
          <w:sz w:val="30"/>
          <w:szCs w:val="30"/>
          <w:highlight w:val="none"/>
        </w:rPr>
      </w:pPr>
      <w:r>
        <w:rPr>
          <w:rFonts w:ascii="方正小标宋简体" w:eastAsia="方正小标宋简体"/>
          <w:b/>
          <w:bCs/>
          <w:color w:val="auto"/>
          <w:sz w:val="32"/>
          <w:szCs w:val="32"/>
          <w:highlight w:val="none"/>
        </w:rPr>
        <w:br w:type="page"/>
      </w:r>
    </w:p>
    <w:p>
      <w:pPr>
        <w:pStyle w:val="2"/>
        <w:numPr>
          <w:ilvl w:val="0"/>
          <w:numId w:val="2"/>
        </w:numPr>
        <w:spacing w:before="120" w:after="120" w:line="360" w:lineRule="auto"/>
        <w:ind w:left="0"/>
        <w:jc w:val="center"/>
        <w:rPr>
          <w:rFonts w:ascii="黑体" w:hAnsi="黑体" w:eastAsia="黑体" w:cs="黑体"/>
          <w:color w:val="auto"/>
          <w:sz w:val="36"/>
          <w:szCs w:val="36"/>
          <w:highlight w:val="none"/>
        </w:rPr>
      </w:pPr>
      <w:r>
        <w:rPr>
          <w:rFonts w:hint="eastAsia" w:ascii="黑体" w:hAnsi="黑体" w:eastAsia="黑体" w:cs="黑体"/>
          <w:color w:val="auto"/>
          <w:sz w:val="36"/>
          <w:szCs w:val="36"/>
          <w:highlight w:val="none"/>
        </w:rPr>
        <w:t xml:space="preserve"> </w:t>
      </w:r>
      <w:bookmarkStart w:id="34" w:name="_Toc11611"/>
      <w:r>
        <w:rPr>
          <w:rFonts w:hint="eastAsia" w:ascii="黑体" w:hAnsi="黑体" w:eastAsia="黑体" w:cs="黑体"/>
          <w:color w:val="auto"/>
          <w:sz w:val="36"/>
          <w:szCs w:val="36"/>
          <w:highlight w:val="none"/>
        </w:rPr>
        <w:t>以“三区三线”为基础，构建国土空间新格局</w:t>
      </w:r>
      <w:bookmarkEnd w:id="34"/>
    </w:p>
    <w:p>
      <w:pPr>
        <w:numPr>
          <w:ilvl w:val="0"/>
          <w:numId w:val="5"/>
        </w:numPr>
        <w:spacing w:before="78" w:beforeLines="25" w:after="78" w:afterLines="25" w:line="700" w:lineRule="exact"/>
        <w:ind w:left="0" w:firstLine="0"/>
        <w:jc w:val="center"/>
        <w:outlineLvl w:val="1"/>
        <w:rPr>
          <w:rFonts w:ascii="黑体" w:hAnsi="黑体" w:eastAsia="黑体" w:cs="黑体"/>
          <w:b/>
          <w:bCs/>
          <w:color w:val="auto"/>
          <w:sz w:val="32"/>
          <w:szCs w:val="32"/>
          <w:highlight w:val="none"/>
        </w:rPr>
      </w:pPr>
      <w:bookmarkStart w:id="35" w:name="_Toc22775"/>
      <w:r>
        <w:rPr>
          <w:rFonts w:hint="eastAsia" w:ascii="黑体" w:hAnsi="黑体" w:eastAsia="黑体" w:cs="黑体"/>
          <w:b/>
          <w:bCs/>
          <w:color w:val="auto"/>
          <w:sz w:val="32"/>
          <w:szCs w:val="32"/>
          <w:highlight w:val="none"/>
        </w:rPr>
        <w:t>统筹划定“三区三线”</w:t>
      </w:r>
      <w:bookmarkEnd w:id="35"/>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按照耕地和永久基本农田、生态保护红线、城镇开发边界的优先序统筹划定三条控制线，确保三条控制线不交叉不重叠。以三条控制线围合的空间作为重点管控区域，在国土空间管控指标约束下，统筹优化农业、生态、城镇空间格局。</w:t>
      </w:r>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一、优先划定耕地和永久基本农田保护红线</w:t>
      </w:r>
    </w:p>
    <w:p>
      <w:pPr>
        <w:spacing w:line="560" w:lineRule="exact"/>
        <w:ind w:firstLine="640" w:firstLineChars="200"/>
        <w:rPr>
          <w:rFonts w:ascii="Times New Roman" w:hAnsi="Times New Roman" w:eastAsia="仿宋_GB2312" w:cs="Times New Roman"/>
          <w:color w:val="auto"/>
          <w:sz w:val="32"/>
          <w:szCs w:val="32"/>
          <w:highlight w:val="none"/>
          <w:u w:val="single"/>
        </w:rPr>
      </w:pPr>
      <w:r>
        <w:rPr>
          <w:rFonts w:hint="eastAsia" w:ascii="Times New Roman" w:hAnsi="Times New Roman" w:eastAsia="仿宋_GB2312" w:cs="Times New Roman"/>
          <w:color w:val="auto"/>
          <w:sz w:val="32"/>
          <w:szCs w:val="32"/>
          <w:highlight w:val="none"/>
        </w:rPr>
        <w:t>现状耕地按照应划尽划、应保尽保的原则，优先确定耕地保护目标，将可以长期稳定利用耕地和坝区优质耕地优先划入永久基本农田实施特殊保护。大姚县划定耕地保有量53.4762万亩，划定永久基本农田保护面积32.8302万亩。</w:t>
      </w:r>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二、科学划定生态保护红线</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将整合优化后的自然保护地，生态功能极重要、生态极脆弱区域，以及目前基本没有人类活动、具有潜在重要生态价值的生态空间，特别是水源涵养、生物多样性维护、水土保持等重点区域，按照“应划尽划”原则，优先划入生态保护红线。大姚县生态保护红线类型为金沙江干热河谷及山原水土保持生态保护红线。大姚县划定生态保护红线</w:t>
      </w:r>
      <w:r>
        <w:rPr>
          <w:rFonts w:ascii="Times New Roman" w:hAnsi="Times New Roman" w:eastAsia="仿宋_GB2312" w:cs="Times New Roman"/>
          <w:color w:val="auto"/>
          <w:sz w:val="32"/>
          <w:szCs w:val="32"/>
          <w:highlight w:val="none"/>
        </w:rPr>
        <w:t>1241</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69平方千米</w:t>
      </w:r>
      <w:r>
        <w:rPr>
          <w:rFonts w:hint="eastAsia" w:ascii="Times New Roman" w:hAnsi="Times New Roman" w:eastAsia="仿宋_GB2312" w:cs="Times New Roman"/>
          <w:color w:val="auto"/>
          <w:sz w:val="32"/>
          <w:szCs w:val="32"/>
          <w:highlight w:val="none"/>
        </w:rPr>
        <w:t>。</w:t>
      </w:r>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三、合理划定城镇开发边界</w:t>
      </w:r>
    </w:p>
    <w:p>
      <w:pPr>
        <w:spacing w:line="560" w:lineRule="exact"/>
        <w:ind w:firstLine="640" w:firstLineChars="200"/>
        <w:rPr>
          <w:rFonts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rPr>
        <w:t>在优先划定耕地和永久基本农田、生态保护红线的基础上，避让地质灾害极高风险区和高风险区等不适宜城镇建设区域，尊重自然地理格局、人口变化趋势、城镇化发展特征和存量建设用地现状，合理划定城镇开发边界，</w:t>
      </w:r>
      <w:r>
        <w:rPr>
          <w:rFonts w:hint="eastAsia" w:ascii="Times New Roman" w:hAnsi="Times New Roman" w:eastAsia="仿宋_GB2312" w:cs="Times New Roman"/>
          <w:color w:val="auto"/>
          <w:sz w:val="32"/>
          <w:szCs w:val="32"/>
          <w:highlight w:val="none"/>
          <w:u w:val="none"/>
        </w:rPr>
        <w:t>大姚县城镇开发边界扩展倍数控制在基于2020年城镇建设用地规模的1.176倍以内。</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城镇开发边界内应编制详细规划，实行“详细规划+规划许可”的管制方式，并加强与城市蓝线、黄线、绿线、紫线等控制线协同管控。</w:t>
      </w:r>
    </w:p>
    <w:p>
      <w:pPr>
        <w:numPr>
          <w:ilvl w:val="0"/>
          <w:numId w:val="5"/>
        </w:numPr>
        <w:spacing w:before="78" w:beforeLines="25" w:after="78" w:afterLines="25" w:line="700" w:lineRule="exact"/>
        <w:ind w:left="0" w:firstLine="0"/>
        <w:jc w:val="center"/>
        <w:outlineLvl w:val="1"/>
        <w:rPr>
          <w:rFonts w:ascii="黑体" w:hAnsi="黑体" w:eastAsia="黑体" w:cs="黑体"/>
          <w:b/>
          <w:bCs/>
          <w:color w:val="auto"/>
          <w:sz w:val="32"/>
          <w:szCs w:val="32"/>
          <w:highlight w:val="none"/>
        </w:rPr>
      </w:pPr>
      <w:bookmarkStart w:id="36" w:name="_Toc28346"/>
      <w:r>
        <w:rPr>
          <w:rFonts w:hint="eastAsia" w:ascii="黑体" w:hAnsi="黑体" w:eastAsia="黑体" w:cs="黑体"/>
          <w:b/>
          <w:bCs/>
          <w:color w:val="auto"/>
          <w:sz w:val="32"/>
          <w:szCs w:val="32"/>
          <w:highlight w:val="none"/>
        </w:rPr>
        <w:t>细化落实主体功能区布局</w:t>
      </w:r>
      <w:bookmarkEnd w:id="36"/>
    </w:p>
    <w:p>
      <w:pPr>
        <w:spacing w:line="560" w:lineRule="exact"/>
        <w:ind w:firstLine="640" w:firstLineChars="200"/>
        <w:rPr>
          <w:color w:val="auto"/>
          <w:highlight w:val="none"/>
        </w:rPr>
      </w:pPr>
      <w:r>
        <w:rPr>
          <w:rFonts w:hint="eastAsia" w:ascii="Times New Roman" w:hAnsi="Times New Roman" w:eastAsia="仿宋_GB2312" w:cs="Times New Roman"/>
          <w:color w:val="auto"/>
          <w:sz w:val="32"/>
          <w:szCs w:val="32"/>
          <w:highlight w:val="none"/>
        </w:rPr>
        <w:t>落实国家、云南省和楚雄州主体功能区战略，大姚县</w:t>
      </w:r>
      <w:r>
        <w:rPr>
          <w:rFonts w:hint="eastAsia" w:ascii="Times New Roman" w:hAnsi="Times New Roman" w:eastAsia="仿宋_GB2312" w:cs="Times New Roman"/>
          <w:color w:val="auto"/>
          <w:sz w:val="32"/>
          <w:szCs w:val="32"/>
          <w:highlight w:val="none"/>
          <w:lang w:val="en-US" w:eastAsia="zh-CN"/>
        </w:rPr>
        <w:t>的</w:t>
      </w:r>
      <w:r>
        <w:rPr>
          <w:rFonts w:hint="eastAsia" w:ascii="Times New Roman" w:hAnsi="Times New Roman" w:eastAsia="仿宋_GB2312" w:cs="Times New Roman"/>
          <w:color w:val="auto"/>
          <w:sz w:val="32"/>
          <w:szCs w:val="32"/>
          <w:highlight w:val="none"/>
        </w:rPr>
        <w:t>主体功能</w:t>
      </w:r>
      <w:r>
        <w:rPr>
          <w:rFonts w:hint="eastAsia" w:ascii="Times New Roman" w:hAnsi="Times New Roman" w:eastAsia="仿宋_GB2312" w:cs="Times New Roman"/>
          <w:color w:val="auto"/>
          <w:sz w:val="32"/>
          <w:szCs w:val="32"/>
          <w:highlight w:val="none"/>
          <w:lang w:val="en-US" w:eastAsia="zh-CN"/>
        </w:rPr>
        <w:t>定位</w:t>
      </w:r>
      <w:r>
        <w:rPr>
          <w:rFonts w:hint="eastAsia" w:ascii="Times New Roman" w:hAnsi="Times New Roman" w:eastAsia="仿宋_GB2312" w:cs="Times New Roman"/>
          <w:color w:val="auto"/>
          <w:sz w:val="32"/>
          <w:szCs w:val="32"/>
          <w:highlight w:val="none"/>
        </w:rPr>
        <w:t>为国家级重点生态功能区</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优化县域主体功能区布局，以乡镇为基本空间单元，大姚县形成“2+10”乡级行政区主体功能定位</w:t>
      </w:r>
      <w:r>
        <w:rPr>
          <w:rFonts w:hint="eastAsia" w:ascii="Times New Roman" w:hAnsi="Times New Roman" w:eastAsia="仿宋_GB2312" w:cs="Times New Roman"/>
          <w:color w:val="auto"/>
          <w:sz w:val="32"/>
          <w:szCs w:val="32"/>
          <w:highlight w:val="none"/>
          <w:lang w:val="en-US" w:eastAsia="zh-CN"/>
        </w:rPr>
        <w:t>分布</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全县划定2个城市化发展区和10个重点生态功能区。按照州级主体功能分区细化名录中提出增加“重点小城镇”、“历史文化资源富集区”和“能源资源富集区”等要求，细化乡镇主体功能区叠加类型。</w:t>
      </w:r>
    </w:p>
    <w:p>
      <w:pPr>
        <w:numPr>
          <w:ilvl w:val="0"/>
          <w:numId w:val="5"/>
        </w:numPr>
        <w:spacing w:before="78" w:beforeLines="25" w:after="78" w:afterLines="25" w:line="700" w:lineRule="exact"/>
        <w:ind w:left="0" w:firstLine="0"/>
        <w:jc w:val="center"/>
        <w:outlineLvl w:val="1"/>
        <w:rPr>
          <w:rFonts w:ascii="黑体" w:hAnsi="黑体" w:eastAsia="黑体" w:cs="黑体"/>
          <w:b/>
          <w:bCs/>
          <w:color w:val="auto"/>
          <w:sz w:val="32"/>
          <w:szCs w:val="32"/>
          <w:highlight w:val="none"/>
        </w:rPr>
      </w:pPr>
      <w:bookmarkStart w:id="37" w:name="_Toc5918"/>
      <w:r>
        <w:rPr>
          <w:rFonts w:hint="eastAsia" w:ascii="黑体" w:hAnsi="黑体" w:eastAsia="黑体" w:cs="黑体"/>
          <w:b/>
          <w:bCs/>
          <w:color w:val="auto"/>
          <w:sz w:val="32"/>
          <w:szCs w:val="32"/>
          <w:highlight w:val="none"/>
        </w:rPr>
        <w:t>积极融入滇中和楚北，强化区域协调</w:t>
      </w:r>
      <w:bookmarkEnd w:id="37"/>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一、融入滇中，建设滇中对外开放北大门</w:t>
      </w:r>
    </w:p>
    <w:p>
      <w:pPr>
        <w:spacing w:line="560" w:lineRule="exact"/>
        <w:ind w:firstLine="640" w:firstLineChars="200"/>
        <w:rPr>
          <w:rFonts w:ascii="Times New Roman" w:hAnsi="Times New Roman" w:eastAsia="仿宋_GB2312" w:cs="Times New Roman"/>
          <w:i/>
          <w:iCs/>
          <w:color w:val="auto"/>
          <w:sz w:val="32"/>
          <w:szCs w:val="32"/>
          <w:highlight w:val="none"/>
        </w:rPr>
      </w:pPr>
      <w:r>
        <w:rPr>
          <w:rFonts w:hint="eastAsia" w:ascii="Times New Roman" w:hAnsi="Times New Roman" w:eastAsia="仿宋_GB2312" w:cs="Times New Roman"/>
          <w:color w:val="auto"/>
          <w:sz w:val="32"/>
          <w:szCs w:val="32"/>
          <w:highlight w:val="none"/>
        </w:rPr>
        <w:t>围绕建设滇中对外开放北大门及楚北对外开放合作重要门户，加快推进大姚县“四纵四横”路网建设，变交通末梢为开放前沿，发挥大姚在区域的比较优势，承接昆明、大理、攀枝花、丽江等地区的溢出产业。大姚县东接元谋，依托高速、铁路打通高原特色农产品外销绿色通道；向北经永仁主动</w:t>
      </w:r>
      <w:r>
        <w:rPr>
          <w:rFonts w:hint="eastAsia" w:ascii="Times New Roman" w:hAnsi="Times New Roman" w:eastAsia="仿宋_GB2312" w:cs="Times New Roman"/>
          <w:color w:val="auto"/>
          <w:sz w:val="32"/>
          <w:szCs w:val="32"/>
          <w:highlight w:val="none"/>
          <w:lang w:val="en-US" w:eastAsia="zh-CN"/>
        </w:rPr>
        <w:t>衔接</w:t>
      </w:r>
      <w:r>
        <w:rPr>
          <w:rFonts w:hint="eastAsia" w:ascii="Times New Roman" w:hAnsi="Times New Roman" w:eastAsia="仿宋_GB2312" w:cs="Times New Roman"/>
          <w:color w:val="auto"/>
          <w:sz w:val="32"/>
          <w:szCs w:val="32"/>
          <w:highlight w:val="none"/>
        </w:rPr>
        <w:t>成渝，借势金沙江黄金水道和攀西经济区打造滇中对外北大门；向西连接宾川、祥云，主动融入大滇西旅游环线，与大理州</w:t>
      </w:r>
      <w:r>
        <w:rPr>
          <w:rFonts w:hint="eastAsia" w:ascii="Times New Roman" w:hAnsi="Times New Roman" w:eastAsia="仿宋_GB2312" w:cs="Times New Roman"/>
          <w:color w:val="auto"/>
          <w:sz w:val="32"/>
          <w:szCs w:val="32"/>
          <w:highlight w:val="none"/>
          <w:lang w:val="en-US" w:eastAsia="zh-CN"/>
        </w:rPr>
        <w:t>开展</w:t>
      </w:r>
      <w:r>
        <w:rPr>
          <w:rFonts w:hint="eastAsia" w:ascii="Times New Roman" w:hAnsi="Times New Roman" w:eastAsia="仿宋_GB2312" w:cs="Times New Roman"/>
          <w:color w:val="auto"/>
          <w:sz w:val="32"/>
          <w:szCs w:val="32"/>
          <w:highlight w:val="none"/>
        </w:rPr>
        <w:t>合作；向西南经姚安主动承接楚中城镇群，建设高质量开放大姚。</w:t>
      </w:r>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二、联动楚北，共促楚北城镇组团聚群崛起</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按照强化与攀枝花、成渝经济区协作发展的思路，促进大姚与元谋、永仁、姚安四城错位协同发展，推进大姚融入元谋、永仁、姚安共建楚北城镇组团协同合作发展机制，推动基础设施、公共服务、产业布局、生态环保、体制机制等多方面协调布局；将大姚县建设成为楚雄州次级区域中心城市。加强区域交通体系建设。促进“互联互通”，加快推进综合交通体系与楚北产业体系相衔接，补齐水利、能源、信息、物流等基础设施短板，构建楚北城镇组团西联昆瑞经济走廊、北通成渝经济区、南接昆曼大通道的重要交通枢纽。优化区域产业布局，推动绿色能源、绿色食品、康养旅游、装备制造“四大产业”布局及楚北城镇组团的发展，统筹发展商贸物流、新服务等支撑产业建设。优化产业创新平台布局，推进大姚省级农业科技园区等创新载体建设，鼓励本土企业与省内外科研院所、高校合作共建紧密型产学研战略联盟。助力楚北城镇组团共建魅力空间，加快将大姚联动融入大滇西旅游环线总体格局。</w:t>
      </w:r>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三、生态共育，协同筑牢长江上游安全屏障</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严守生态保护红线，协作加强跨区域生态保护。以水源涵养、水生态保护等为重点，协同金沙江及分支流域、蜻蛉河等沿线县（市），共抓长江上游生态大保护，推动滇中高原生物多样性保护、生态保护与修复。推进重点河湖水生态保护与修复，加快推进大姚县金沙江干热河谷干流生态保护与修复、蜻蛉河大姚段生态修复与治理、长江上游大姚县龙街河流域水环境综合治理、小石门径流区大姚片区水生态修复与治理等实施，维护区域生态安全，改善区域环境，修复及保护河湖水生态空间。增加绿化面积，提升森林质量，构建金沙江流域绿色生态屏障。健全区域生态保护补偿机制。建立市场化、多元化、跨地区的生态保护补偿机制，合作建立区域协调发展新机制。</w:t>
      </w:r>
    </w:p>
    <w:p>
      <w:pPr>
        <w:numPr>
          <w:ilvl w:val="0"/>
          <w:numId w:val="5"/>
        </w:numPr>
        <w:spacing w:before="78" w:beforeLines="25" w:after="78" w:afterLines="25" w:line="700" w:lineRule="exact"/>
        <w:ind w:left="0" w:firstLine="0"/>
        <w:jc w:val="center"/>
        <w:outlineLvl w:val="1"/>
        <w:rPr>
          <w:rFonts w:ascii="黑体" w:hAnsi="黑体" w:eastAsia="黑体" w:cs="黑体"/>
          <w:b/>
          <w:bCs/>
          <w:color w:val="auto"/>
          <w:sz w:val="32"/>
          <w:szCs w:val="32"/>
          <w:highlight w:val="none"/>
        </w:rPr>
      </w:pPr>
      <w:bookmarkStart w:id="38" w:name="_Toc1690"/>
      <w:r>
        <w:rPr>
          <w:rFonts w:hint="eastAsia" w:ascii="黑体" w:hAnsi="黑体" w:eastAsia="黑体" w:cs="黑体"/>
          <w:b/>
          <w:bCs/>
          <w:color w:val="auto"/>
          <w:sz w:val="32"/>
          <w:szCs w:val="32"/>
          <w:highlight w:val="none"/>
        </w:rPr>
        <w:t>构建国土空间总体格局</w:t>
      </w:r>
      <w:bookmarkEnd w:id="38"/>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围绕大姚县生态安全格局、城镇空间布局和生产力空间布局，以国土空间开发保护底线为基础，构建大姚县“一带两廊、一核三极、一片两轴”的国土空间总体格局。</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“一带两廊”：</w:t>
      </w:r>
      <w:r>
        <w:rPr>
          <w:rFonts w:hint="eastAsia" w:ascii="楷体" w:hAnsi="楷体" w:eastAsia="楷体" w:cs="楷体"/>
          <w:color w:val="auto"/>
          <w:sz w:val="32"/>
          <w:szCs w:val="32"/>
          <w:highlight w:val="none"/>
          <w:lang w:eastAsia="zh-CN"/>
        </w:rPr>
        <w:t>“</w:t>
      </w:r>
      <w:r>
        <w:rPr>
          <w:rFonts w:hint="eastAsia" w:ascii="Times New Roman" w:hAnsi="Times New Roman" w:eastAsia="仿宋_GB2312" w:cs="Times New Roman"/>
          <w:color w:val="auto"/>
          <w:sz w:val="32"/>
          <w:szCs w:val="32"/>
          <w:highlight w:val="none"/>
        </w:rPr>
        <w:t>大小百草岭</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昙华山</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生态涵养发展带、</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蜻蛉河</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西河</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生态廊道、沿金沙江生态廊道。奠定大姚群山翠绿、山水相依、生态宜居的生态基底。</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“一核三极”：</w:t>
      </w:r>
      <w:r>
        <w:rPr>
          <w:rFonts w:hint="eastAsia" w:ascii="Times New Roman" w:hAnsi="Times New Roman" w:eastAsia="仿宋_GB2312" w:cs="Times New Roman"/>
          <w:color w:val="auto"/>
          <w:sz w:val="32"/>
          <w:szCs w:val="32"/>
          <w:highlight w:val="none"/>
        </w:rPr>
        <w:t>县域发展核心，石羊镇、龙街镇及湾碧乡三个县域增长极，促进城镇有序开发、特色集聚发展。</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“一片两轴”：</w:t>
      </w:r>
      <w:r>
        <w:rPr>
          <w:rFonts w:hint="eastAsia" w:ascii="Times New Roman" w:hAnsi="Times New Roman" w:eastAsia="仿宋_GB2312" w:cs="Times New Roman"/>
          <w:color w:val="auto"/>
          <w:sz w:val="32"/>
          <w:szCs w:val="32"/>
          <w:highlight w:val="none"/>
        </w:rPr>
        <w:t>大姚县域南部产业中心片（</w:t>
      </w:r>
      <w:r>
        <w:rPr>
          <w:rFonts w:hint="eastAsia" w:ascii="Times New Roman" w:hAnsi="Times New Roman" w:eastAsia="仿宋_GB2312" w:cs="Times New Roman"/>
          <w:color w:val="auto"/>
          <w:sz w:val="32"/>
          <w:szCs w:val="32"/>
          <w:highlight w:val="none"/>
          <w:lang w:val="en-US" w:eastAsia="zh-CN"/>
        </w:rPr>
        <w:t>金碧</w:t>
      </w:r>
      <w:r>
        <w:rPr>
          <w:rFonts w:hint="eastAsia" w:ascii="Times New Roman" w:hAnsi="Times New Roman" w:eastAsia="仿宋_GB2312" w:cs="Times New Roman"/>
          <w:color w:val="auto"/>
          <w:sz w:val="32"/>
          <w:szCs w:val="32"/>
          <w:highlight w:val="none"/>
        </w:rPr>
        <w:t>、赵家店、龙街、新街）、南永线发展轴线、元祥线发展轴线。加强产业集聚，推动高质量发展。</w:t>
      </w:r>
    </w:p>
    <w:p>
      <w:pPr>
        <w:numPr>
          <w:ilvl w:val="0"/>
          <w:numId w:val="5"/>
        </w:numPr>
        <w:spacing w:before="78" w:beforeLines="25" w:after="78" w:afterLines="25" w:line="700" w:lineRule="exact"/>
        <w:ind w:left="0" w:firstLine="0"/>
        <w:jc w:val="center"/>
        <w:outlineLvl w:val="1"/>
        <w:rPr>
          <w:rFonts w:ascii="黑体" w:hAnsi="黑体" w:eastAsia="黑体" w:cs="黑体"/>
          <w:b/>
          <w:bCs/>
          <w:color w:val="auto"/>
          <w:sz w:val="32"/>
          <w:szCs w:val="32"/>
          <w:highlight w:val="none"/>
        </w:rPr>
      </w:pPr>
      <w:bookmarkStart w:id="39" w:name="_Toc19745"/>
      <w:r>
        <w:rPr>
          <w:rFonts w:hint="eastAsia" w:ascii="黑体" w:hAnsi="黑体" w:eastAsia="黑体" w:cs="黑体"/>
          <w:b/>
          <w:bCs/>
          <w:color w:val="auto"/>
          <w:sz w:val="32"/>
          <w:szCs w:val="32"/>
          <w:highlight w:val="none"/>
        </w:rPr>
        <w:t>优化国土空间规划分区</w:t>
      </w:r>
      <w:bookmarkEnd w:id="39"/>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全县划定农田保护区占县域国土面积的</w:t>
      </w:r>
      <w:r>
        <w:rPr>
          <w:rFonts w:hint="eastAsia" w:ascii="Times New Roman" w:hAnsi="Times New Roman" w:eastAsia="仿宋_GB2312" w:cs="Times New Roman"/>
          <w:color w:val="auto"/>
          <w:sz w:val="32"/>
          <w:szCs w:val="32"/>
          <w:highlight w:val="none"/>
          <w:lang w:val="en-US" w:eastAsia="zh-CN"/>
        </w:rPr>
        <w:t>7.21</w:t>
      </w:r>
      <w:r>
        <w:rPr>
          <w:rFonts w:hint="eastAsia" w:ascii="Times New Roman" w:hAnsi="Times New Roman" w:eastAsia="仿宋_GB2312" w:cs="Times New Roman"/>
          <w:color w:val="auto"/>
          <w:sz w:val="32"/>
          <w:szCs w:val="32"/>
          <w:highlight w:val="none"/>
        </w:rPr>
        <w:t>%。划定生态保护区占县域国土面积的30.81%。划定生态控制区占县域国土面积的</w:t>
      </w:r>
      <w:r>
        <w:rPr>
          <w:rFonts w:hint="eastAsia" w:ascii="Times New Roman" w:hAnsi="Times New Roman" w:eastAsia="仿宋_GB2312" w:cs="Times New Roman"/>
          <w:color w:val="auto"/>
          <w:sz w:val="32"/>
          <w:szCs w:val="32"/>
          <w:highlight w:val="none"/>
          <w:lang w:val="en-US" w:eastAsia="zh-CN"/>
        </w:rPr>
        <w:t>28.13</w:t>
      </w:r>
      <w:r>
        <w:rPr>
          <w:rFonts w:hint="eastAsia" w:ascii="Times New Roman" w:hAnsi="Times New Roman" w:eastAsia="仿宋_GB2312" w:cs="Times New Roman"/>
          <w:color w:val="auto"/>
          <w:sz w:val="32"/>
          <w:szCs w:val="32"/>
          <w:highlight w:val="none"/>
        </w:rPr>
        <w:t>%。划定城镇发展区占县域国土面积的</w:t>
      </w:r>
      <w:r>
        <w:rPr>
          <w:rFonts w:hint="eastAsia" w:ascii="Times New Roman" w:hAnsi="Times New Roman" w:eastAsia="仿宋_GB2312" w:cs="Times New Roman"/>
          <w:color w:val="auto"/>
          <w:sz w:val="32"/>
          <w:szCs w:val="32"/>
          <w:highlight w:val="none"/>
          <w:lang w:val="en-US" w:eastAsia="zh-CN"/>
        </w:rPr>
        <w:t>0.32</w:t>
      </w:r>
      <w:r>
        <w:rPr>
          <w:rFonts w:hint="eastAsia" w:ascii="Times New Roman" w:hAnsi="Times New Roman" w:eastAsia="仿宋_GB2312" w:cs="Times New Roman"/>
          <w:color w:val="auto"/>
          <w:sz w:val="32"/>
          <w:szCs w:val="32"/>
          <w:highlight w:val="none"/>
        </w:rPr>
        <w:t>%。划定矿产能源发展区面积占县域国土面积的</w:t>
      </w:r>
      <w:r>
        <w:rPr>
          <w:rFonts w:hint="eastAsia" w:ascii="Times New Roman" w:hAnsi="Times New Roman" w:eastAsia="仿宋_GB2312" w:cs="Times New Roman"/>
          <w:color w:val="auto"/>
          <w:sz w:val="32"/>
          <w:szCs w:val="32"/>
          <w:highlight w:val="none"/>
          <w:lang w:val="en-US" w:eastAsia="zh-CN"/>
        </w:rPr>
        <w:t>5.76</w:t>
      </w:r>
      <w:r>
        <w:rPr>
          <w:rFonts w:hint="eastAsia" w:ascii="Times New Roman" w:hAnsi="Times New Roman" w:eastAsia="仿宋_GB2312" w:cs="Times New Roman"/>
          <w:color w:val="auto"/>
          <w:sz w:val="32"/>
          <w:szCs w:val="32"/>
          <w:highlight w:val="none"/>
        </w:rPr>
        <w:t>%。</w:t>
      </w:r>
    </w:p>
    <w:p>
      <w:pPr>
        <w:spacing w:line="560" w:lineRule="exact"/>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划定乡村发展区面积占县域国土面积的</w:t>
      </w:r>
      <w:r>
        <w:rPr>
          <w:rFonts w:hint="eastAsia" w:ascii="Times New Roman" w:hAnsi="Times New Roman" w:eastAsia="仿宋_GB2312" w:cs="Times New Roman"/>
          <w:color w:val="auto"/>
          <w:sz w:val="32"/>
          <w:szCs w:val="32"/>
          <w:highlight w:val="none"/>
          <w:lang w:val="en-US" w:eastAsia="zh-CN"/>
        </w:rPr>
        <w:t>27.77</w:t>
      </w:r>
      <w:r>
        <w:rPr>
          <w:rFonts w:hint="eastAsia" w:ascii="Times New Roman" w:hAnsi="Times New Roman" w:eastAsia="仿宋_GB2312" w:cs="Times New Roman"/>
          <w:color w:val="auto"/>
          <w:sz w:val="32"/>
          <w:szCs w:val="32"/>
          <w:highlight w:val="none"/>
        </w:rPr>
        <w:t>%。</w:t>
      </w:r>
    </w:p>
    <w:p>
      <w:pPr>
        <w:keepNext/>
        <w:numPr>
          <w:ilvl w:val="0"/>
          <w:numId w:val="5"/>
        </w:numPr>
        <w:spacing w:before="78" w:beforeLines="25" w:after="78" w:afterLines="25" w:line="700" w:lineRule="exact"/>
        <w:ind w:left="0" w:firstLine="0"/>
        <w:jc w:val="center"/>
        <w:outlineLvl w:val="1"/>
        <w:rPr>
          <w:rFonts w:ascii="黑体" w:hAnsi="黑体" w:eastAsia="黑体" w:cs="黑体"/>
          <w:b/>
          <w:bCs/>
          <w:color w:val="auto"/>
          <w:sz w:val="32"/>
          <w:szCs w:val="32"/>
          <w:highlight w:val="none"/>
        </w:rPr>
      </w:pPr>
      <w:bookmarkStart w:id="40" w:name="_Toc3531"/>
      <w:r>
        <w:rPr>
          <w:rFonts w:hint="eastAsia" w:ascii="黑体" w:hAnsi="黑体" w:eastAsia="黑体" w:cs="黑体"/>
          <w:b/>
          <w:bCs/>
          <w:color w:val="auto"/>
          <w:sz w:val="32"/>
          <w:szCs w:val="32"/>
          <w:highlight w:val="none"/>
        </w:rPr>
        <w:t>全域用地结构调整优化</w:t>
      </w:r>
      <w:bookmarkEnd w:id="40"/>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科学保障农业用地。</w:t>
      </w:r>
      <w:r>
        <w:rPr>
          <w:rFonts w:hint="eastAsia" w:ascii="Times New Roman" w:hAnsi="Times New Roman" w:eastAsia="仿宋_GB2312" w:cs="Times New Roman"/>
          <w:color w:val="auto"/>
          <w:sz w:val="32"/>
          <w:szCs w:val="32"/>
          <w:highlight w:val="none"/>
        </w:rPr>
        <w:t>落实耕地及永久基本农田保护要求，以农业生产适宜区为基础，坚持以水定地，优化调整耕地规模与布局；保障蔬菜等重要农产品有效供给，合理引导农业结构向有利于农用地保护与利用的方向调整；提高农业现代化水平，强化农业设施建设。</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优化利用建设用地。</w:t>
      </w:r>
      <w:r>
        <w:rPr>
          <w:rFonts w:hint="eastAsia" w:ascii="Times New Roman" w:hAnsi="Times New Roman" w:eastAsia="仿宋_GB2312" w:cs="Times New Roman"/>
          <w:color w:val="auto"/>
          <w:sz w:val="32"/>
          <w:szCs w:val="32"/>
          <w:highlight w:val="none"/>
        </w:rPr>
        <w:t>优先保障区域重大战略项目、民生发展以及交通及能源等基础设施建设，严格控制低效产业用地规模。优化整理村庄居民点布局，盘活存量建设用地，腾挪空间优先保障农村一二三产业融合发展用地需求。</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加强保护自然保护用地。</w:t>
      </w:r>
      <w:r>
        <w:rPr>
          <w:rFonts w:hint="eastAsia" w:ascii="Times New Roman" w:hAnsi="Times New Roman" w:eastAsia="仿宋_GB2312" w:cs="Times New Roman"/>
          <w:color w:val="auto"/>
          <w:sz w:val="32"/>
          <w:szCs w:val="32"/>
          <w:highlight w:val="none"/>
        </w:rPr>
        <w:t>保护湖泊、水库、水系、湿地等重要生态功能用地，稳定现状湿地规模，增加陆地水域面积，保障生态修复用地需求；提升土地生态化水平与生态服务功能。</w:t>
      </w:r>
    </w:p>
    <w:p>
      <w:pPr>
        <w:keepNext/>
        <w:keepLines/>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加大对其他土地的治理。</w:t>
      </w:r>
      <w:r>
        <w:rPr>
          <w:rFonts w:hint="eastAsia" w:ascii="Times New Roman" w:hAnsi="Times New Roman" w:eastAsia="仿宋_GB2312" w:cs="Times New Roman"/>
          <w:color w:val="auto"/>
          <w:sz w:val="32"/>
          <w:szCs w:val="32"/>
          <w:highlight w:val="none"/>
        </w:rPr>
        <w:t>开展土地整治项目，完善田间道路设施。加大治理力度，控制裸土地等面积不增加，提升土地生态化水平与生态服务功能。</w:t>
      </w:r>
    </w:p>
    <w:p>
      <w:pPr>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br w:type="page"/>
      </w:r>
    </w:p>
    <w:p>
      <w:pPr>
        <w:pStyle w:val="2"/>
        <w:numPr>
          <w:ilvl w:val="0"/>
          <w:numId w:val="2"/>
        </w:numPr>
        <w:spacing w:before="120" w:after="120" w:line="360" w:lineRule="auto"/>
        <w:ind w:left="0"/>
        <w:jc w:val="center"/>
        <w:rPr>
          <w:rFonts w:ascii="黑体" w:hAnsi="黑体" w:eastAsia="黑体" w:cs="黑体"/>
          <w:color w:val="auto"/>
          <w:sz w:val="36"/>
          <w:szCs w:val="36"/>
          <w:highlight w:val="none"/>
        </w:rPr>
      </w:pPr>
      <w:r>
        <w:rPr>
          <w:rFonts w:hint="eastAsia" w:ascii="黑体" w:hAnsi="黑体" w:eastAsia="黑体" w:cs="黑体"/>
          <w:color w:val="auto"/>
          <w:sz w:val="36"/>
          <w:szCs w:val="36"/>
          <w:highlight w:val="none"/>
        </w:rPr>
        <w:t xml:space="preserve"> </w:t>
      </w:r>
      <w:bookmarkStart w:id="41" w:name="_Toc21888"/>
      <w:r>
        <w:rPr>
          <w:rFonts w:hint="eastAsia" w:ascii="黑体" w:hAnsi="黑体" w:eastAsia="黑体" w:cs="黑体"/>
          <w:color w:val="auto"/>
          <w:sz w:val="36"/>
          <w:szCs w:val="36"/>
          <w:highlight w:val="none"/>
        </w:rPr>
        <w:t>做优农业发展空间</w:t>
      </w:r>
      <w:bookmarkEnd w:id="41"/>
    </w:p>
    <w:p>
      <w:pPr>
        <w:numPr>
          <w:ilvl w:val="0"/>
          <w:numId w:val="6"/>
        </w:numPr>
        <w:spacing w:before="78" w:beforeLines="25" w:after="78" w:afterLines="25" w:line="700" w:lineRule="exact"/>
        <w:ind w:left="0" w:firstLine="0"/>
        <w:jc w:val="center"/>
        <w:outlineLvl w:val="1"/>
        <w:rPr>
          <w:rFonts w:ascii="黑体" w:hAnsi="黑体" w:eastAsia="黑体" w:cs="黑体"/>
          <w:b/>
          <w:bCs/>
          <w:color w:val="auto"/>
          <w:sz w:val="32"/>
          <w:szCs w:val="32"/>
          <w:highlight w:val="none"/>
        </w:rPr>
      </w:pPr>
      <w:bookmarkStart w:id="42" w:name="_Toc1187"/>
      <w:bookmarkStart w:id="43" w:name="_Toc19958"/>
      <w:r>
        <w:rPr>
          <w:rFonts w:hint="eastAsia" w:ascii="黑体" w:hAnsi="黑体" w:eastAsia="黑体" w:cs="黑体"/>
          <w:b/>
          <w:bCs/>
          <w:color w:val="auto"/>
          <w:sz w:val="32"/>
          <w:szCs w:val="32"/>
          <w:highlight w:val="none"/>
        </w:rPr>
        <w:t>优化农业空间布局</w:t>
      </w:r>
      <w:bookmarkEnd w:id="42"/>
      <w:bookmarkEnd w:id="43"/>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结合大姚县目前农业产业基础、区位特点、发展环境及县域生产力空间布局，优化构建大姚县“两廊、三区、四基地、多园”的农业空间布局。</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“两廊”：</w:t>
      </w:r>
      <w:r>
        <w:rPr>
          <w:rFonts w:hint="eastAsia" w:ascii="Times New Roman" w:hAnsi="Times New Roman" w:eastAsia="仿宋_GB2312" w:cs="Times New Roman"/>
          <w:color w:val="auto"/>
          <w:sz w:val="32"/>
          <w:szCs w:val="32"/>
          <w:highlight w:val="none"/>
        </w:rPr>
        <w:t>包括南永线农业发展廊道以及元祥线农业发展廊道。持续打造两条廊道，把优势产业、优质资源等向两条廊道空间聚集，把两条廊道沿线建成全县高原特色现代农业、观光旅游业和人居环境提升等相互促进的产业兴旺示范区，建成全县生产发展、生活富裕、生态良好“三生”融合示范带和“产工销”、“农文旅”融合的排头兵。培育现代农业、全域旅游新业态，打造区域核心增长极，推动南北廊道上金碧镇、赵家店镇和东西廊道上龙街镇、新街镇、石羊镇、三岔河镇等6个乡镇优势互补、要素联动、一体发展。</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“三区”：</w:t>
      </w:r>
      <w:r>
        <w:rPr>
          <w:rFonts w:hint="eastAsia" w:ascii="Times New Roman" w:hAnsi="Times New Roman" w:eastAsia="仿宋_GB2312" w:cs="Times New Roman"/>
          <w:color w:val="auto"/>
          <w:sz w:val="32"/>
          <w:szCs w:val="32"/>
          <w:highlight w:val="none"/>
        </w:rPr>
        <w:t>东部规模种植区，运用发展优势重点推进金</w:t>
      </w:r>
    </w:p>
    <w:p>
      <w:pPr>
        <w:spacing w:line="560" w:lineRule="exact"/>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碧镇、新街镇、龙街镇、六苴镇、赵家店镇5个乡镇的规模化现代农业发展；西部林业绿色发展区，结合区域特色以石羊镇、三岔河镇、三台乡、昙华乡4个乡镇为中心辐射发展；北部畜牧沿江突破区，发挥地域优势在湾碧乡、铁锁乡、桂花镇重点推进畜牧业和高原特色农业。</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“四基地”：</w:t>
      </w:r>
      <w:r>
        <w:rPr>
          <w:rFonts w:hint="eastAsia" w:ascii="Times New Roman" w:hAnsi="Times New Roman" w:eastAsia="仿宋_GB2312" w:cs="Times New Roman"/>
          <w:color w:val="auto"/>
          <w:sz w:val="32"/>
          <w:szCs w:val="32"/>
          <w:highlight w:val="none"/>
        </w:rPr>
        <w:t>建设四个基地，即：全县万亩特色蔬菜种植示范基地（以金碧、新街、昙华等乡镇空间为重点）、万亩鲜食水果（主打软籽石榴、芒果）种植示范基地（以龙街、赵家店、湾碧等乡镇空间为重点）、万亩百合示范种植基地（以六苴、新街、昙华等乡镇为重点）、百万头（羽）畜禽养殖示范基地。</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“多园”：</w:t>
      </w:r>
      <w:r>
        <w:rPr>
          <w:rFonts w:hint="eastAsia" w:ascii="Times New Roman" w:hAnsi="Times New Roman" w:eastAsia="仿宋_GB2312" w:cs="Times New Roman"/>
          <w:color w:val="auto"/>
          <w:sz w:val="32"/>
          <w:szCs w:val="32"/>
          <w:highlight w:val="none"/>
        </w:rPr>
        <w:t>以两条农业发展廊道为主线布局建设现代农业产业园，依托全县果蔬、畜禽、蚕桑、干果等特色产业，整合现有绿色食品加工园、电商产业园、物流园等资源，力争建成10个以上现代农业产业园，以园区作为“引擎”带动全县农业产业高质量融合发展；坚持种植园、养殖园、科技园、加工园、电商园（含物流）“五园”并建；在建设方式上可采取县建核心园（2至3个）、乡建示范园（1至2个）和廊头带廊尾、廊头核心园、廊尾示范园的思路，形成县乡联动的园区建设空间布局。</w:t>
      </w:r>
    </w:p>
    <w:p>
      <w:pPr>
        <w:numPr>
          <w:ilvl w:val="0"/>
          <w:numId w:val="6"/>
        </w:numPr>
        <w:spacing w:before="78" w:beforeLines="25" w:after="78" w:afterLines="25" w:line="700" w:lineRule="exact"/>
        <w:ind w:left="0" w:firstLine="0"/>
        <w:jc w:val="center"/>
        <w:outlineLvl w:val="1"/>
        <w:rPr>
          <w:rFonts w:ascii="黑体" w:hAnsi="黑体" w:eastAsia="黑体" w:cs="黑体"/>
          <w:b/>
          <w:bCs/>
          <w:color w:val="auto"/>
          <w:sz w:val="32"/>
          <w:szCs w:val="32"/>
          <w:highlight w:val="none"/>
        </w:rPr>
      </w:pPr>
      <w:bookmarkStart w:id="44" w:name="_Toc28610"/>
      <w:r>
        <w:rPr>
          <w:rFonts w:hint="eastAsia" w:ascii="黑体" w:hAnsi="黑体" w:eastAsia="黑体" w:cs="黑体"/>
          <w:b/>
          <w:bCs/>
          <w:color w:val="auto"/>
          <w:sz w:val="32"/>
          <w:szCs w:val="32"/>
          <w:highlight w:val="none"/>
        </w:rPr>
        <w:t>严守农业发展安全</w:t>
      </w:r>
      <w:bookmarkEnd w:id="44"/>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一、严守耕地保护红线</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bCs/>
          <w:color w:val="auto"/>
          <w:sz w:val="32"/>
          <w:szCs w:val="32"/>
          <w:highlight w:val="none"/>
        </w:rPr>
        <w:t>确保完成耕地保护目标。</w:t>
      </w:r>
      <w:r>
        <w:rPr>
          <w:rFonts w:hint="eastAsia" w:ascii="Times New Roman" w:hAnsi="Times New Roman" w:eastAsia="仿宋_GB2312" w:cs="Times New Roman"/>
          <w:color w:val="auto"/>
          <w:sz w:val="32"/>
          <w:szCs w:val="32"/>
          <w:highlight w:val="none"/>
        </w:rPr>
        <w:t>全面落实耕地保护党政同责，严格粮食安全责任制考核，确保粮食播种面积稳定，落实最严格的耕地保护制度，以质量最优的坝区耕地和数量最多的缓坡耕地为重点，采取“长牙齿”的硬措施严防死守耕地红线。落实楚雄州下达的耕地保有量和永久基本农田保护面积要求，加强耕地保护全流程监管。</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bCs/>
          <w:color w:val="auto"/>
          <w:sz w:val="32"/>
          <w:szCs w:val="32"/>
          <w:highlight w:val="none"/>
        </w:rPr>
        <w:t>坚决制止耕地“非农化”。</w:t>
      </w:r>
      <w:r>
        <w:rPr>
          <w:rFonts w:hint="eastAsia" w:ascii="Times New Roman" w:hAnsi="Times New Roman" w:eastAsia="仿宋_GB2312" w:cs="Times New Roman"/>
          <w:color w:val="auto"/>
          <w:sz w:val="32"/>
          <w:szCs w:val="32"/>
          <w:highlight w:val="none"/>
        </w:rPr>
        <w:t>严禁违规占用耕地绿化造林。严格执行土地管理、永久基本农田保护等法律法规，禁止占用永久基本农田种植苗木、草皮等用于绿化装饰以及其他破坏耕作层的植物。严禁超标准建设绿色通道。严禁违规占用耕地挖湖造景。禁止以河流、湿地治理为名，擅自占用耕地及永久基本农田挖田造湖、挖湖造景。严禁违规占用耕地从事非农建设。加强农村地区建设用地审批和乡村建设规划许可管理，坚持农地农用。严禁违法违规批地用地。批地用地必须符合国土空间规划，凡不符合国土空间规划以及不符合土地管理法律法规和国家产业政策的建设项目，不予批准用地。</w:t>
      </w:r>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二、永久基本农田保护</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bCs/>
          <w:color w:val="auto"/>
          <w:sz w:val="32"/>
          <w:szCs w:val="32"/>
          <w:highlight w:val="none"/>
        </w:rPr>
        <w:t>严控建设占用永久基本农田。</w:t>
      </w:r>
      <w:r>
        <w:rPr>
          <w:rFonts w:hint="eastAsia" w:ascii="Times New Roman" w:hAnsi="Times New Roman" w:eastAsia="仿宋_GB2312" w:cs="Times New Roman"/>
          <w:color w:val="auto"/>
          <w:sz w:val="32"/>
          <w:szCs w:val="32"/>
          <w:highlight w:val="none"/>
        </w:rPr>
        <w:t>从严管控建设占用永久基本农田，各类建设项目必须避让永久基本农田，重大建设项目选址确实无法避让的，建设单位在可行性研究阶段，应对占用永久基本农田的必要性和合理性进行论证，严格落实占用和补划永久基本农田踏勘论证制度，确保永久基本农田补足补优。</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bCs/>
          <w:color w:val="auto"/>
          <w:sz w:val="32"/>
          <w:szCs w:val="32"/>
          <w:highlight w:val="none"/>
        </w:rPr>
        <w:t>强化永久基本农田质量建设。</w:t>
      </w:r>
      <w:r>
        <w:rPr>
          <w:rFonts w:hint="eastAsia" w:ascii="Times New Roman" w:hAnsi="Times New Roman" w:eastAsia="仿宋_GB2312" w:cs="Times New Roman"/>
          <w:color w:val="auto"/>
          <w:sz w:val="32"/>
          <w:szCs w:val="32"/>
          <w:highlight w:val="none"/>
        </w:rPr>
        <w:t>优先在永久基本农田集中连片区域开展土地综合整治、高标准农田建设，推动土地整治工程技术创新和应用，逐步将已划定的永久基本农田全部建成高标准农田，有效稳定永久基本农田规模布局，提升耕地质量，改善生态环境。全面推行建设占用永久基本农田耕作层土壤剥离再利用，剥离的表土优先用于新增耕地、劣质地或永久基本农田储备区的土壤改良，拓宽永久基本农田建设性保护途径。</w:t>
      </w:r>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三、农用地保护利用</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bCs/>
          <w:color w:val="auto"/>
          <w:sz w:val="32"/>
          <w:szCs w:val="32"/>
          <w:highlight w:val="none"/>
        </w:rPr>
        <w:t>统筹优化农用地空间布局。</w:t>
      </w:r>
      <w:r>
        <w:rPr>
          <w:rFonts w:hint="eastAsia" w:ascii="Times New Roman" w:hAnsi="Times New Roman" w:eastAsia="仿宋_GB2312" w:cs="Times New Roman"/>
          <w:color w:val="auto"/>
          <w:sz w:val="32"/>
          <w:szCs w:val="32"/>
          <w:highlight w:val="none"/>
        </w:rPr>
        <w:t>大力开展农用地特别是基本农田整理工作，全面提高耕地质量。加强空心村、工矿废弃地整理复垦，充分挖掘城乡建设用地潜力。保证建设占用耕地实现占补平衡，灾毁耕地得到有效补充，确保耕地保有量的稳定。</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bCs/>
          <w:color w:val="auto"/>
          <w:sz w:val="32"/>
          <w:szCs w:val="32"/>
          <w:highlight w:val="none"/>
        </w:rPr>
        <w:t>划定耕地后备资源补充空间。</w:t>
      </w:r>
      <w:r>
        <w:rPr>
          <w:rFonts w:hint="eastAsia" w:ascii="Times New Roman" w:hAnsi="Times New Roman" w:eastAsia="仿宋_GB2312" w:cs="Times New Roman"/>
          <w:color w:val="auto"/>
          <w:sz w:val="32"/>
          <w:szCs w:val="32"/>
          <w:highlight w:val="none"/>
        </w:rPr>
        <w:t>耕地后备资源是实施土地整治的重要基础，是实现耕地占补平衡的重要保障。按照“耕地下山、林果上山”的空间置换思路，划</w:t>
      </w:r>
      <w:bookmarkStart w:id="45" w:name="OLE_LINK2"/>
      <w:r>
        <w:rPr>
          <w:rFonts w:hint="eastAsia" w:ascii="Times New Roman" w:hAnsi="Times New Roman" w:eastAsia="仿宋_GB2312" w:cs="Times New Roman"/>
          <w:color w:val="auto"/>
          <w:sz w:val="32"/>
          <w:szCs w:val="32"/>
          <w:highlight w:val="none"/>
        </w:rPr>
        <w:t>定耕地后备资源补充空间</w:t>
      </w:r>
      <w:bookmarkEnd w:id="45"/>
      <w:r>
        <w:rPr>
          <w:rFonts w:ascii="Times New Roman" w:hAnsi="Times New Roman" w:eastAsia="仿宋_GB2312" w:cs="Times New Roman"/>
          <w:color w:val="auto"/>
          <w:sz w:val="32"/>
          <w:szCs w:val="32"/>
          <w:highlight w:val="none"/>
        </w:rPr>
        <w:t>。</w:t>
      </w:r>
    </w:p>
    <w:p>
      <w:pPr>
        <w:keepNext/>
        <w:keepLines/>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bCs/>
          <w:color w:val="auto"/>
          <w:sz w:val="32"/>
          <w:szCs w:val="32"/>
          <w:highlight w:val="none"/>
        </w:rPr>
        <w:t>统筹推进高标准农田建设。</w:t>
      </w:r>
      <w:r>
        <w:rPr>
          <w:rFonts w:hint="eastAsia" w:ascii="Times New Roman" w:hAnsi="Times New Roman" w:eastAsia="仿宋_GB2312" w:cs="Times New Roman"/>
          <w:color w:val="auto"/>
          <w:sz w:val="32"/>
          <w:szCs w:val="32"/>
          <w:highlight w:val="none"/>
        </w:rPr>
        <w:t>坚持统筹规划、突出重点，科学制定高标准农田整区域建设规划和实施方案，坚持新增建设和改造提升并重，建设数量与建设质量并重，工程建设和建后管护并重。</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bCs/>
          <w:color w:val="auto"/>
          <w:sz w:val="32"/>
          <w:szCs w:val="32"/>
          <w:highlight w:val="none"/>
        </w:rPr>
        <w:t>保护和改善耕地生态环境。</w:t>
      </w:r>
      <w:r>
        <w:rPr>
          <w:rFonts w:hint="eastAsia" w:ascii="Times New Roman" w:hAnsi="Times New Roman" w:eastAsia="仿宋_GB2312" w:cs="Times New Roman"/>
          <w:color w:val="auto"/>
          <w:sz w:val="32"/>
          <w:szCs w:val="32"/>
          <w:highlight w:val="none"/>
        </w:rPr>
        <w:t>通过对农用地开展土壤污染状况详查，确定污染土壤位置、污染类型、污染程度；在此基础上，对污染较为严重的区域，开展污染土地治理和修复工程；大力推进土地综合整治，因地制宜开展农用地整治提升措施，实施农田水污染综合治理，适度开发耕地后备资源，推进高标准农田建设。采取生物改良、物理改良为主的综合改良措施，改善土壤结构，提高土壤肥力，提升农田生态能力。</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bCs/>
          <w:color w:val="auto"/>
          <w:sz w:val="32"/>
          <w:szCs w:val="32"/>
          <w:highlight w:val="none"/>
        </w:rPr>
        <w:t>加强对农用地结构调整和引导。</w:t>
      </w:r>
      <w:r>
        <w:rPr>
          <w:rFonts w:hint="eastAsia" w:ascii="Times New Roman" w:hAnsi="Times New Roman" w:eastAsia="仿宋_GB2312" w:cs="Times New Roman"/>
          <w:color w:val="auto"/>
          <w:sz w:val="32"/>
          <w:szCs w:val="32"/>
          <w:highlight w:val="none"/>
        </w:rPr>
        <w:t>合理引导种植业内部结构调整，确保不因农业结构调整降低耕地保有量。各类防护林、绿化带等生态建设应尽量避免占用耕地，确需占用的，必须按照数量质量相当原则履行补充耕地义务。通过经济补偿机制、市场手段引导农业结构向有利于增加耕地的方向进行。</w:t>
      </w:r>
    </w:p>
    <w:p>
      <w:pPr>
        <w:pStyle w:val="12"/>
        <w:spacing w:line="560" w:lineRule="exact"/>
        <w:ind w:firstLine="640"/>
        <w:rPr>
          <w:color w:val="auto"/>
          <w:highlight w:val="none"/>
        </w:rPr>
      </w:pPr>
      <w:r>
        <w:rPr>
          <w:rFonts w:hint="eastAsia" w:ascii="楷体" w:hAnsi="楷体" w:eastAsia="楷体" w:cs="楷体"/>
          <w:bCs/>
          <w:color w:val="auto"/>
          <w:sz w:val="32"/>
          <w:szCs w:val="32"/>
          <w:highlight w:val="none"/>
        </w:rPr>
        <w:t>统筹安排其他农用地。</w:t>
      </w:r>
      <w:r>
        <w:rPr>
          <w:rFonts w:hint="eastAsia" w:ascii="Times New Roman" w:hAnsi="Times New Roman" w:eastAsia="仿宋_GB2312" w:cs="Times New Roman"/>
          <w:color w:val="auto"/>
          <w:sz w:val="32"/>
          <w:szCs w:val="32"/>
          <w:highlight w:val="none"/>
        </w:rPr>
        <w:t>提高园地利用效益，重点发展优质果园，建设优势果产品基地，促进品种结构调整和产品质量提高。调整园地布局，引导新建园地向立地条件适宜的丘陵、台地和荒坡地集中发展。加强对中低产园的改造和管理，稳步提高园地单产和效益。推进土地整治（补充耕地）项目，水土资源较好、地势平坦地区草地规划土地整治补充耕地，增加耕地面积，保障粮食安全。合理安排设施农用地。</w:t>
      </w:r>
    </w:p>
    <w:p>
      <w:pPr>
        <w:keepNext/>
        <w:keepLines/>
        <w:numPr>
          <w:ilvl w:val="0"/>
          <w:numId w:val="6"/>
        </w:numPr>
        <w:spacing w:before="78" w:beforeLines="25" w:after="78" w:afterLines="25" w:line="700" w:lineRule="exact"/>
        <w:ind w:left="0" w:firstLine="0"/>
        <w:jc w:val="center"/>
        <w:outlineLvl w:val="1"/>
        <w:rPr>
          <w:rFonts w:ascii="黑体" w:hAnsi="黑体" w:eastAsia="黑体" w:cs="黑体"/>
          <w:b/>
          <w:bCs/>
          <w:color w:val="auto"/>
          <w:sz w:val="32"/>
          <w:szCs w:val="32"/>
          <w:highlight w:val="none"/>
        </w:rPr>
      </w:pPr>
      <w:bookmarkStart w:id="46" w:name="_Toc15108"/>
      <w:r>
        <w:rPr>
          <w:rFonts w:hint="eastAsia" w:ascii="黑体" w:hAnsi="黑体" w:eastAsia="黑体" w:cs="黑体"/>
          <w:b/>
          <w:bCs/>
          <w:color w:val="auto"/>
          <w:sz w:val="32"/>
          <w:szCs w:val="32"/>
          <w:highlight w:val="none"/>
        </w:rPr>
        <w:t>发展高原特色现代农业</w:t>
      </w:r>
      <w:bookmarkEnd w:id="46"/>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一、优化产业布局，加强产业基地建设</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坚持组织化、规模化、市场化方向，优化产业布局，推动一二三产深度融合发展，构建现代农业产业体系、生产体系、经营体系，努力把大姚建设成为全省“一县一业”核桃示范县、全国休闲农业重点县、绿色产业示范基地和全国一二三产融合发展先导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结合全县资源分布和区位，完善坝区、山区、半山区各具特色的经济发展模式，引导农业生产要素向有市场、有特色的产业和产品集中，优化生产力空间布局，着力建设高原粮仓，发展特色经作，壮大山地牧业，发展淡水渔业；打造畜牧、蚕桑、蔬菜基地、水果基地、中药材等农业产业基地。推进特色优势农产品生产向优势区域集中，在优势区域提升。</w:t>
      </w:r>
    </w:p>
    <w:p>
      <w:pPr>
        <w:pStyle w:val="4"/>
        <w:keepNext/>
        <w:keepLines/>
        <w:pageBreakBefore w:val="0"/>
        <w:widowControl w:val="0"/>
        <w:numPr>
          <w:ilvl w:val="2"/>
          <w:numId w:val="0"/>
        </w:numPr>
        <w:kinsoku/>
        <w:wordWrap/>
        <w:overflowPunct/>
        <w:topLinePunct w:val="0"/>
        <w:autoSpaceDE/>
        <w:autoSpaceDN/>
        <w:bidi w:val="0"/>
        <w:adjustRightInd/>
        <w:snapToGrid/>
        <w:spacing w:before="0" w:after="0" w:line="560" w:lineRule="exact"/>
        <w:ind w:firstLine="640" w:firstLineChars="200"/>
        <w:textAlignment w:val="auto"/>
        <w:rPr>
          <w:rFonts w:ascii="黑体" w:hAnsi="黑体" w:eastAsia="黑体" w:cs="黑体"/>
          <w:b w:val="0"/>
          <w:bCs w:val="0"/>
          <w:color w:val="auto"/>
          <w:highlight w:val="none"/>
        </w:rPr>
      </w:pPr>
      <w:r>
        <w:rPr>
          <w:rFonts w:hint="eastAsia" w:ascii="黑体" w:hAnsi="黑体" w:eastAsia="黑体" w:cs="黑体"/>
          <w:b w:val="0"/>
          <w:bCs w:val="0"/>
          <w:color w:val="auto"/>
          <w:highlight w:val="none"/>
        </w:rPr>
        <w:t>二、实施创新驱动，提升农业技术装备水平</w:t>
      </w:r>
    </w:p>
    <w:p>
      <w:pPr>
        <w:keepNext/>
        <w:keepLines/>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hint="eastAsia" w:ascii="楷体" w:hAnsi="楷体" w:eastAsia="楷体" w:cs="楷体"/>
          <w:bCs/>
          <w:color w:val="auto"/>
          <w:sz w:val="32"/>
          <w:szCs w:val="32"/>
          <w:highlight w:val="none"/>
        </w:rPr>
        <w:t>推进农业科技创新。</w:t>
      </w:r>
      <w:r>
        <w:rPr>
          <w:rFonts w:hint="eastAsia" w:ascii="Times New Roman" w:hAnsi="Times New Roman" w:eastAsia="仿宋_GB2312" w:cs="Times New Roman"/>
          <w:color w:val="auto"/>
          <w:sz w:val="32"/>
          <w:szCs w:val="32"/>
          <w:highlight w:val="none"/>
        </w:rPr>
        <w:t>建立农业科技创新联盟，研发农业高新技术产业，大力推进农业生产机械化、标准化和信息化；加快推进农村电商发展，促进新型农业经营主体、加工流通企业与电商企业全面对接融合，推广使用先进农业设施，积极发展节地、节水、节肥、节药、节种的节约型农业。</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bCs/>
          <w:color w:val="auto"/>
          <w:sz w:val="32"/>
          <w:szCs w:val="32"/>
          <w:highlight w:val="none"/>
        </w:rPr>
        <w:t>加快推进土地整治项目。</w:t>
      </w:r>
      <w:r>
        <w:rPr>
          <w:rFonts w:hint="eastAsia" w:ascii="Times New Roman" w:hAnsi="Times New Roman" w:eastAsia="仿宋_GB2312" w:cs="Times New Roman"/>
          <w:color w:val="auto"/>
          <w:sz w:val="32"/>
          <w:szCs w:val="32"/>
          <w:highlight w:val="none"/>
        </w:rPr>
        <w:t>开展耕地质量保护和提升行动，实施中低产田地改造、土地整理和耕地质量建设工程。集中力量开展土地整理、农田水利、土壤改良和机耕道路等建设，加快推进小型农田水利重点县、灌区水利配套设施和高效节水灌溉水网建设，努力提高耕地质量。</w:t>
      </w:r>
    </w:p>
    <w:p>
      <w:pPr>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br w:type="page"/>
      </w:r>
    </w:p>
    <w:p>
      <w:pPr>
        <w:pStyle w:val="2"/>
        <w:numPr>
          <w:ilvl w:val="0"/>
          <w:numId w:val="2"/>
        </w:numPr>
        <w:spacing w:before="120" w:after="120" w:line="360" w:lineRule="auto"/>
        <w:ind w:left="0"/>
        <w:jc w:val="center"/>
        <w:rPr>
          <w:rFonts w:ascii="黑体" w:hAnsi="黑体" w:eastAsia="黑体" w:cs="黑体"/>
          <w:color w:val="auto"/>
          <w:sz w:val="36"/>
          <w:szCs w:val="36"/>
          <w:highlight w:val="none"/>
        </w:rPr>
      </w:pPr>
      <w:r>
        <w:rPr>
          <w:rFonts w:hint="eastAsia" w:ascii="黑体" w:hAnsi="黑体" w:eastAsia="黑体" w:cs="黑体"/>
          <w:color w:val="auto"/>
          <w:sz w:val="36"/>
          <w:szCs w:val="36"/>
          <w:highlight w:val="none"/>
        </w:rPr>
        <w:t xml:space="preserve"> </w:t>
      </w:r>
      <w:bookmarkStart w:id="47" w:name="_Toc4291"/>
      <w:r>
        <w:rPr>
          <w:rFonts w:hint="eastAsia" w:ascii="黑体" w:hAnsi="黑体" w:eastAsia="黑体" w:cs="黑体"/>
          <w:color w:val="auto"/>
          <w:sz w:val="36"/>
          <w:szCs w:val="36"/>
          <w:highlight w:val="none"/>
        </w:rPr>
        <w:t>筑牢生态保护空间</w:t>
      </w:r>
      <w:bookmarkEnd w:id="47"/>
    </w:p>
    <w:p>
      <w:pPr>
        <w:keepNext/>
        <w:keepLines/>
        <w:numPr>
          <w:ilvl w:val="0"/>
          <w:numId w:val="7"/>
        </w:numPr>
        <w:spacing w:before="78" w:beforeLines="25" w:after="78" w:afterLines="25" w:line="700" w:lineRule="exact"/>
        <w:ind w:left="0" w:firstLine="0"/>
        <w:jc w:val="center"/>
        <w:outlineLvl w:val="1"/>
        <w:rPr>
          <w:rFonts w:ascii="黑体" w:hAnsi="黑体" w:eastAsia="黑体" w:cs="黑体"/>
          <w:b/>
          <w:bCs/>
          <w:color w:val="auto"/>
          <w:sz w:val="32"/>
          <w:szCs w:val="32"/>
          <w:highlight w:val="none"/>
        </w:rPr>
      </w:pPr>
      <w:bookmarkStart w:id="48" w:name="_Toc19621"/>
      <w:r>
        <w:rPr>
          <w:rFonts w:hint="eastAsia" w:ascii="黑体" w:hAnsi="黑体" w:eastAsia="黑体" w:cs="黑体"/>
          <w:b/>
          <w:bCs/>
          <w:color w:val="auto"/>
          <w:sz w:val="32"/>
          <w:szCs w:val="32"/>
          <w:highlight w:val="none"/>
        </w:rPr>
        <w:t>筑牢生态安全格局</w:t>
      </w:r>
      <w:bookmarkEnd w:id="48"/>
    </w:p>
    <w:p>
      <w:pPr>
        <w:spacing w:line="560" w:lineRule="exact"/>
        <w:ind w:firstLine="640" w:firstLineChars="200"/>
        <w:rPr>
          <w:rFonts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rPr>
        <w:t>建立点线面相结合的区域生态安全体系，建设和维护生物廊道，保护和修复重要节点，构建“一带两廊两屏多点”的生态空间格局。“一带”是指“大小百草岭—昙华山”生态涵养发展带。“两廊”是指“蜻蛉河—西河”生态廊道和沿金沙江生态廊道。“两屏”是指北部流域屏障和南部流域屏障。“多点”是指自然保护区、草原公园、风景名胜区及饮用水源保护区等重要生态保护节点。</w:t>
      </w:r>
    </w:p>
    <w:p>
      <w:pPr>
        <w:keepNext/>
        <w:keepLines/>
        <w:numPr>
          <w:ilvl w:val="0"/>
          <w:numId w:val="7"/>
        </w:numPr>
        <w:spacing w:before="78" w:beforeLines="25" w:after="78" w:afterLines="25" w:line="700" w:lineRule="exact"/>
        <w:ind w:left="0" w:firstLine="0"/>
        <w:jc w:val="center"/>
        <w:outlineLvl w:val="1"/>
        <w:rPr>
          <w:rFonts w:ascii="黑体" w:hAnsi="黑体" w:eastAsia="黑体" w:cs="黑体"/>
          <w:b/>
          <w:bCs/>
          <w:color w:val="auto"/>
          <w:sz w:val="32"/>
          <w:szCs w:val="32"/>
          <w:highlight w:val="none"/>
        </w:rPr>
      </w:pPr>
      <w:bookmarkStart w:id="49" w:name="_Toc30349"/>
      <w:r>
        <w:rPr>
          <w:rFonts w:hint="eastAsia" w:ascii="黑体" w:hAnsi="黑体" w:eastAsia="黑体" w:cs="黑体"/>
          <w:b/>
          <w:bCs/>
          <w:color w:val="auto"/>
          <w:sz w:val="32"/>
          <w:szCs w:val="32"/>
          <w:highlight w:val="none"/>
        </w:rPr>
        <w:t>建立自然保护地体系</w:t>
      </w:r>
      <w:bookmarkEnd w:id="49"/>
    </w:p>
    <w:p>
      <w:pPr>
        <w:spacing w:line="560" w:lineRule="exact"/>
        <w:ind w:firstLine="640" w:firstLineChars="200"/>
        <w:rPr>
          <w:rFonts w:ascii="Times New Roman" w:hAnsi="Times New Roman" w:eastAsia="仿宋_GB2312" w:cs="Times New Roman"/>
          <w:iCs/>
          <w:color w:val="auto"/>
          <w:sz w:val="32"/>
          <w:szCs w:val="32"/>
          <w:highlight w:val="none"/>
          <w:u w:val="single"/>
        </w:rPr>
      </w:pPr>
      <w:r>
        <w:rPr>
          <w:rFonts w:hint="eastAsia" w:ascii="Times New Roman" w:hAnsi="Times New Roman" w:eastAsia="仿宋_GB2312" w:cs="Times New Roman"/>
          <w:iCs/>
          <w:color w:val="auto"/>
          <w:sz w:val="32"/>
          <w:szCs w:val="32"/>
          <w:highlight w:val="none"/>
        </w:rPr>
        <w:t>按照山水林田湖草生命共同体理念，逐步构建以自然保护区为基础、以自然公园为补充且符合全县实际的自然保护地体系。制定自然保护地分类、分级、分区管控要求，对不同类型、不同级别、不同分区的自然保护地实行差别化管控。加强自然保护地建设管理。以自然恢复为主，辅以必要的人工措施，分区分类开展受损自然生态系统修复，建立生态廊道、开展重要栖息地恢复和废弃地修复。</w:t>
      </w:r>
      <w:r>
        <w:rPr>
          <w:rFonts w:hint="eastAsia" w:ascii="Times New Roman" w:hAnsi="Times New Roman" w:eastAsia="仿宋_GB2312" w:cs="Times New Roman"/>
          <w:iCs/>
          <w:color w:val="auto"/>
          <w:sz w:val="32"/>
          <w:szCs w:val="32"/>
          <w:highlight w:val="none"/>
          <w:u w:val="none"/>
        </w:rPr>
        <w:t>构建以云南大姚百草岭</w:t>
      </w:r>
      <w:r>
        <w:rPr>
          <w:rFonts w:hint="eastAsia" w:ascii="Times New Roman" w:hAnsi="Times New Roman" w:eastAsia="仿宋_GB2312" w:cs="Times New Roman"/>
          <w:iCs/>
          <w:color w:val="auto"/>
          <w:sz w:val="32"/>
          <w:szCs w:val="32"/>
          <w:highlight w:val="none"/>
          <w:u w:val="none"/>
          <w:lang w:val="en-US" w:eastAsia="zh-CN"/>
        </w:rPr>
        <w:t>省级</w:t>
      </w:r>
      <w:r>
        <w:rPr>
          <w:rFonts w:hint="eastAsia" w:ascii="Times New Roman" w:hAnsi="Times New Roman" w:eastAsia="仿宋_GB2312" w:cs="Times New Roman"/>
          <w:iCs/>
          <w:color w:val="auto"/>
          <w:sz w:val="32"/>
          <w:szCs w:val="32"/>
          <w:highlight w:val="none"/>
          <w:u w:val="none"/>
        </w:rPr>
        <w:t>自然保护区为基础、云南大姚帽台山</w:t>
      </w:r>
      <w:r>
        <w:rPr>
          <w:rFonts w:hint="eastAsia" w:ascii="Times New Roman" w:hAnsi="Times New Roman" w:eastAsia="仿宋_GB2312" w:cs="Times New Roman"/>
          <w:iCs/>
          <w:color w:val="auto"/>
          <w:sz w:val="32"/>
          <w:szCs w:val="32"/>
          <w:highlight w:val="none"/>
          <w:u w:val="none"/>
          <w:lang w:val="en-US" w:eastAsia="zh-CN"/>
        </w:rPr>
        <w:t>省级</w:t>
      </w:r>
      <w:r>
        <w:rPr>
          <w:rFonts w:hint="eastAsia" w:ascii="Times New Roman" w:hAnsi="Times New Roman" w:eastAsia="仿宋_GB2312" w:cs="Times New Roman"/>
          <w:iCs/>
          <w:color w:val="auto"/>
          <w:sz w:val="32"/>
          <w:szCs w:val="32"/>
          <w:highlight w:val="none"/>
          <w:u w:val="none"/>
        </w:rPr>
        <w:t>草原公园和云南大姚昙华山</w:t>
      </w:r>
      <w:r>
        <w:rPr>
          <w:rFonts w:hint="eastAsia" w:ascii="Times New Roman" w:hAnsi="Times New Roman" w:eastAsia="仿宋_GB2312" w:cs="Times New Roman"/>
          <w:iCs/>
          <w:color w:val="auto"/>
          <w:sz w:val="32"/>
          <w:szCs w:val="32"/>
          <w:highlight w:val="none"/>
          <w:u w:val="none"/>
          <w:lang w:val="en-US" w:eastAsia="zh-CN"/>
        </w:rPr>
        <w:t>省级</w:t>
      </w:r>
      <w:r>
        <w:rPr>
          <w:rFonts w:hint="eastAsia" w:ascii="Times New Roman" w:hAnsi="Times New Roman" w:eastAsia="仿宋_GB2312" w:cs="Times New Roman"/>
          <w:iCs/>
          <w:color w:val="auto"/>
          <w:sz w:val="32"/>
          <w:szCs w:val="32"/>
          <w:highlight w:val="none"/>
          <w:u w:val="none"/>
        </w:rPr>
        <w:t>风景名胜区2个自然公园为补充的“1+2”自然保护地体系。</w:t>
      </w:r>
    </w:p>
    <w:p>
      <w:pPr>
        <w:keepNext/>
        <w:keepLines/>
        <w:numPr>
          <w:ilvl w:val="0"/>
          <w:numId w:val="7"/>
        </w:numPr>
        <w:spacing w:before="78" w:beforeLines="25" w:after="78" w:afterLines="25" w:line="700" w:lineRule="exact"/>
        <w:ind w:left="0" w:firstLine="0"/>
        <w:jc w:val="center"/>
        <w:outlineLvl w:val="1"/>
        <w:rPr>
          <w:rFonts w:ascii="黑体" w:hAnsi="黑体" w:eastAsia="黑体" w:cs="黑体"/>
          <w:b/>
          <w:bCs/>
          <w:color w:val="auto"/>
          <w:sz w:val="32"/>
          <w:szCs w:val="32"/>
          <w:highlight w:val="none"/>
        </w:rPr>
      </w:pPr>
      <w:bookmarkStart w:id="50" w:name="_Toc24921"/>
      <w:r>
        <w:rPr>
          <w:rFonts w:hint="eastAsia" w:ascii="黑体" w:hAnsi="黑体" w:eastAsia="黑体" w:cs="黑体"/>
          <w:b/>
          <w:bCs/>
          <w:color w:val="auto"/>
          <w:sz w:val="32"/>
          <w:szCs w:val="32"/>
          <w:highlight w:val="none"/>
        </w:rPr>
        <w:t>全面提升生态系统功能</w:t>
      </w:r>
      <w:bookmarkEnd w:id="50"/>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一、加强生物多样性保护培育</w:t>
      </w:r>
    </w:p>
    <w:p>
      <w:pPr>
        <w:spacing w:line="560" w:lineRule="exact"/>
        <w:ind w:firstLine="640" w:firstLineChars="200"/>
        <w:rPr>
          <w:rFonts w:ascii="Times New Roman" w:hAnsi="Times New Roman" w:eastAsia="仿宋_GB2312" w:cs="Times New Roman"/>
          <w:iCs/>
          <w:color w:val="auto"/>
          <w:sz w:val="32"/>
          <w:szCs w:val="32"/>
          <w:highlight w:val="none"/>
        </w:rPr>
      </w:pPr>
      <w:r>
        <w:rPr>
          <w:rFonts w:hint="eastAsia" w:ascii="楷体" w:hAnsi="楷体" w:eastAsia="楷体" w:cs="楷体"/>
          <w:iCs/>
          <w:color w:val="auto"/>
          <w:sz w:val="32"/>
          <w:szCs w:val="32"/>
          <w:highlight w:val="none"/>
        </w:rPr>
        <w:t>保护物种多样性关键区域。</w:t>
      </w:r>
      <w:r>
        <w:rPr>
          <w:rFonts w:hint="eastAsia" w:ascii="Times New Roman" w:hAnsi="Times New Roman" w:eastAsia="仿宋_GB2312" w:cs="Times New Roman"/>
          <w:iCs/>
          <w:color w:val="auto"/>
          <w:sz w:val="32"/>
          <w:szCs w:val="32"/>
          <w:highlight w:val="none"/>
        </w:rPr>
        <w:t>以大姚县自然保护地作为全县生物多样性保护的核心区域，切实加强保护。按照《大姚县分布的国家重点保护野生动植物名录（2021年）》，保护大姚县分布的国家重点保护野生动物和国家重点保护野生植物。</w:t>
      </w:r>
    </w:p>
    <w:p>
      <w:pPr>
        <w:spacing w:line="560" w:lineRule="exact"/>
        <w:ind w:firstLine="640" w:firstLineChars="200"/>
        <w:rPr>
          <w:rFonts w:ascii="Times New Roman" w:hAnsi="Times New Roman" w:eastAsia="仿宋_GB2312" w:cs="Times New Roman"/>
          <w:iCs/>
          <w:color w:val="auto"/>
          <w:sz w:val="32"/>
          <w:szCs w:val="32"/>
          <w:highlight w:val="none"/>
        </w:rPr>
      </w:pPr>
      <w:r>
        <w:rPr>
          <w:rFonts w:hint="eastAsia" w:ascii="楷体" w:hAnsi="楷体" w:eastAsia="楷体" w:cs="楷体"/>
          <w:iCs/>
          <w:color w:val="auto"/>
          <w:sz w:val="32"/>
          <w:szCs w:val="32"/>
          <w:highlight w:val="none"/>
        </w:rPr>
        <w:t>构建生物多样性保护廊道。</w:t>
      </w:r>
      <w:r>
        <w:rPr>
          <w:rFonts w:hint="eastAsia" w:ascii="Times New Roman" w:hAnsi="Times New Roman" w:eastAsia="仿宋_GB2312" w:cs="Times New Roman"/>
          <w:iCs/>
          <w:color w:val="auto"/>
          <w:sz w:val="32"/>
          <w:szCs w:val="32"/>
          <w:highlight w:val="none"/>
        </w:rPr>
        <w:t>以金沙江干热河谷半常绿季雨林生态系统为主，重点保护金沙江边遗存的原生苏铁及转弯河林区的常绿阔叶林、铁杉、冷杉林等植物。</w:t>
      </w:r>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二、重要生态系统保护</w:t>
      </w:r>
    </w:p>
    <w:p>
      <w:pPr>
        <w:spacing w:line="560" w:lineRule="exact"/>
        <w:ind w:firstLine="640" w:firstLineChars="200"/>
        <w:rPr>
          <w:rFonts w:ascii="Times New Roman" w:hAnsi="Times New Roman" w:eastAsia="仿宋_GB2312" w:cs="Times New Roman"/>
          <w:iCs/>
          <w:color w:val="auto"/>
          <w:sz w:val="32"/>
          <w:szCs w:val="32"/>
          <w:highlight w:val="none"/>
        </w:rPr>
      </w:pPr>
      <w:r>
        <w:rPr>
          <w:rFonts w:hint="eastAsia" w:ascii="楷体" w:hAnsi="楷体" w:eastAsia="楷体" w:cs="楷体"/>
          <w:iCs/>
          <w:color w:val="auto"/>
          <w:sz w:val="32"/>
          <w:szCs w:val="32"/>
          <w:highlight w:val="none"/>
        </w:rPr>
        <w:t>严守生态保护红线。</w:t>
      </w:r>
      <w:r>
        <w:rPr>
          <w:rFonts w:hint="eastAsia" w:ascii="Times New Roman" w:hAnsi="Times New Roman" w:eastAsia="仿宋_GB2312" w:cs="Times New Roman"/>
          <w:iCs/>
          <w:color w:val="auto"/>
          <w:sz w:val="32"/>
          <w:szCs w:val="32"/>
          <w:highlight w:val="none"/>
        </w:rPr>
        <w:t>生态保护红线是在生态空间范围内具有特殊重要生态功能、必须强制性严格保护的区域，是保障和维护国家生态安全的底线和生命线，促进保护、恢复和提升重要生态产品供给能力。</w:t>
      </w:r>
    </w:p>
    <w:p>
      <w:pPr>
        <w:spacing w:line="560" w:lineRule="exact"/>
        <w:ind w:firstLine="640" w:firstLineChars="200"/>
        <w:rPr>
          <w:rFonts w:ascii="Times New Roman" w:hAnsi="Times New Roman" w:eastAsia="仿宋_GB2312" w:cs="Times New Roman"/>
          <w:iCs/>
          <w:color w:val="auto"/>
          <w:sz w:val="32"/>
          <w:szCs w:val="32"/>
          <w:highlight w:val="none"/>
        </w:rPr>
      </w:pPr>
      <w:r>
        <w:rPr>
          <w:rFonts w:hint="eastAsia" w:ascii="楷体" w:hAnsi="楷体" w:eastAsia="楷体" w:cs="楷体"/>
          <w:iCs/>
          <w:color w:val="auto"/>
          <w:sz w:val="32"/>
          <w:szCs w:val="32"/>
          <w:highlight w:val="none"/>
        </w:rPr>
        <w:t>强化对生态保护极重要区的保护。</w:t>
      </w:r>
      <w:r>
        <w:rPr>
          <w:rFonts w:hint="eastAsia" w:ascii="Times New Roman" w:hAnsi="Times New Roman" w:eastAsia="仿宋_GB2312" w:cs="Times New Roman"/>
          <w:iCs/>
          <w:color w:val="auto"/>
          <w:sz w:val="32"/>
          <w:szCs w:val="32"/>
          <w:highlight w:val="none"/>
        </w:rPr>
        <w:t>结合楚雄州“双评价”成果，强化对</w:t>
      </w:r>
      <w:r>
        <w:rPr>
          <w:rFonts w:hint="eastAsia" w:ascii="Times New Roman" w:hAnsi="Times New Roman" w:eastAsia="仿宋_GB2312" w:cs="Times New Roman"/>
          <w:bCs/>
          <w:iCs/>
          <w:color w:val="auto"/>
          <w:sz w:val="32"/>
          <w:szCs w:val="32"/>
          <w:highlight w:val="none"/>
        </w:rPr>
        <w:t>生态保护极重要区的</w:t>
      </w:r>
      <w:r>
        <w:rPr>
          <w:rFonts w:hint="eastAsia" w:ascii="Times New Roman" w:hAnsi="Times New Roman" w:eastAsia="仿宋_GB2312" w:cs="Times New Roman"/>
          <w:iCs/>
          <w:color w:val="auto"/>
          <w:sz w:val="32"/>
          <w:szCs w:val="32"/>
          <w:highlight w:val="none"/>
        </w:rPr>
        <w:t>保护；依法加强对森林资源保护管理，进一步加强木材流通管理；坚决制止毁林开垦和乱占林地行为，有效保护林地资源。继续做好已实施完成的封山育林及人工造林的抚育管护工作。</w:t>
      </w:r>
    </w:p>
    <w:p>
      <w:pPr>
        <w:spacing w:line="560" w:lineRule="exact"/>
        <w:ind w:firstLine="640" w:firstLineChars="200"/>
        <w:rPr>
          <w:rFonts w:ascii="Times New Roman" w:hAnsi="Times New Roman" w:eastAsia="仿宋_GB2312" w:cs="Times New Roman"/>
          <w:iCs/>
          <w:color w:val="auto"/>
          <w:sz w:val="32"/>
          <w:szCs w:val="32"/>
          <w:highlight w:val="none"/>
        </w:rPr>
      </w:pPr>
      <w:r>
        <w:rPr>
          <w:rFonts w:hint="eastAsia" w:ascii="楷体" w:hAnsi="楷体" w:eastAsia="楷体" w:cs="楷体"/>
          <w:iCs/>
          <w:color w:val="auto"/>
          <w:sz w:val="32"/>
          <w:szCs w:val="32"/>
          <w:highlight w:val="none"/>
        </w:rPr>
        <w:t>筑牢滇中重要生态屏障。</w:t>
      </w:r>
      <w:r>
        <w:rPr>
          <w:rFonts w:hint="eastAsia" w:ascii="Times New Roman" w:hAnsi="Times New Roman" w:eastAsia="仿宋_GB2312" w:cs="Times New Roman"/>
          <w:iCs/>
          <w:color w:val="auto"/>
          <w:sz w:val="32"/>
          <w:szCs w:val="32"/>
          <w:highlight w:val="none"/>
        </w:rPr>
        <w:t>以云南大姚百草岭省级自然保护区、云南大姚帽台山</w:t>
      </w:r>
      <w:r>
        <w:rPr>
          <w:rFonts w:hint="eastAsia" w:ascii="Times New Roman" w:hAnsi="Times New Roman" w:eastAsia="仿宋_GB2312" w:cs="Times New Roman"/>
          <w:iCs/>
          <w:color w:val="auto"/>
          <w:sz w:val="32"/>
          <w:szCs w:val="32"/>
          <w:highlight w:val="none"/>
          <w:lang w:val="en-US" w:eastAsia="zh-CN"/>
        </w:rPr>
        <w:t>省级</w:t>
      </w:r>
      <w:r>
        <w:rPr>
          <w:rFonts w:hint="eastAsia" w:ascii="Times New Roman" w:hAnsi="Times New Roman" w:eastAsia="仿宋_GB2312" w:cs="Times New Roman"/>
          <w:iCs/>
          <w:color w:val="auto"/>
          <w:sz w:val="32"/>
          <w:szCs w:val="32"/>
          <w:highlight w:val="none"/>
        </w:rPr>
        <w:t>草原自然公园和云南大姚昙华山</w:t>
      </w:r>
      <w:r>
        <w:rPr>
          <w:rFonts w:hint="eastAsia" w:ascii="Times New Roman" w:hAnsi="Times New Roman" w:eastAsia="仿宋_GB2312" w:cs="Times New Roman"/>
          <w:iCs/>
          <w:color w:val="auto"/>
          <w:sz w:val="32"/>
          <w:szCs w:val="32"/>
          <w:highlight w:val="none"/>
          <w:lang w:val="en-US" w:eastAsia="zh-CN"/>
        </w:rPr>
        <w:t>省级</w:t>
      </w:r>
      <w:r>
        <w:rPr>
          <w:rFonts w:hint="eastAsia" w:ascii="Times New Roman" w:hAnsi="Times New Roman" w:eastAsia="仿宋_GB2312" w:cs="Times New Roman"/>
          <w:iCs/>
          <w:color w:val="auto"/>
          <w:sz w:val="32"/>
          <w:szCs w:val="32"/>
          <w:highlight w:val="none"/>
        </w:rPr>
        <w:t>风景名胜区动植物分布较丰富地区作为全县生物多样性保护的核心地带，切实加强保护。加强原始林的保护，禁止破坏天然森林的农业生产活动；改变传统粗放的生产经营方式，合理利用旅游资源，发展生态旅游业。</w:t>
      </w:r>
    </w:p>
    <w:p>
      <w:pPr>
        <w:spacing w:line="560" w:lineRule="exact"/>
        <w:ind w:firstLine="640" w:firstLineChars="200"/>
        <w:rPr>
          <w:rFonts w:ascii="Times New Roman" w:hAnsi="Times New Roman" w:eastAsia="仿宋_GB2312" w:cs="Times New Roman"/>
          <w:iCs/>
          <w:color w:val="auto"/>
          <w:sz w:val="32"/>
          <w:szCs w:val="32"/>
          <w:highlight w:val="none"/>
        </w:rPr>
      </w:pPr>
      <w:r>
        <w:rPr>
          <w:rFonts w:hint="eastAsia" w:ascii="楷体" w:hAnsi="楷体" w:eastAsia="楷体" w:cs="楷体"/>
          <w:iCs/>
          <w:color w:val="auto"/>
          <w:sz w:val="32"/>
          <w:szCs w:val="32"/>
          <w:highlight w:val="none"/>
        </w:rPr>
        <w:t>推进生态廊道和生态节点建设。</w:t>
      </w:r>
      <w:r>
        <w:rPr>
          <w:rFonts w:hint="eastAsia" w:ascii="Times New Roman" w:hAnsi="Times New Roman" w:eastAsia="仿宋_GB2312" w:cs="Times New Roman"/>
          <w:iCs/>
          <w:color w:val="auto"/>
          <w:sz w:val="32"/>
          <w:szCs w:val="32"/>
          <w:highlight w:val="none"/>
        </w:rPr>
        <w:t>推进蜻蛉河-西河生态廊道、沿金沙江生态廊道沿线范围内的重要生态功能区建设，实施以保护和自然修复为主、人工修复为辅的生态修复措施，加强廊道与重要生态功能区的有机联系，充分发挥生态廊道的整体生态服务效益以及自我修复和可持续发展能力。</w:t>
      </w:r>
    </w:p>
    <w:p>
      <w:pPr>
        <w:spacing w:line="560" w:lineRule="exact"/>
        <w:ind w:firstLine="640" w:firstLineChars="200"/>
        <w:rPr>
          <w:color w:val="auto"/>
          <w:highlight w:val="none"/>
        </w:rPr>
      </w:pPr>
      <w:r>
        <w:rPr>
          <w:rFonts w:hint="eastAsia" w:ascii="楷体" w:hAnsi="楷体" w:eastAsia="楷体" w:cs="楷体"/>
          <w:iCs/>
          <w:color w:val="auto"/>
          <w:sz w:val="32"/>
          <w:szCs w:val="32"/>
          <w:highlight w:val="none"/>
        </w:rPr>
        <w:t>加强对重要湿地保护。</w:t>
      </w:r>
      <w:r>
        <w:rPr>
          <w:rFonts w:hint="eastAsia" w:ascii="Times New Roman" w:hAnsi="Times New Roman" w:eastAsia="仿宋_GB2312" w:cs="Times New Roman"/>
          <w:iCs/>
          <w:color w:val="auto"/>
          <w:sz w:val="32"/>
          <w:szCs w:val="32"/>
          <w:highlight w:val="none"/>
        </w:rPr>
        <w:t>将州级和县级集中式饮用水源地及其周边小流域范围划定为水源保护类优先保护区。湿地控制单元内应对湿地实行全面保护、科学修复、合理利用，禁止开（围）垦、填埋或者排干湿地、永久性截断湿地水源、挖沙、采矿、倾倒有毒有害物质、废弃物、垃圾、破坏野生动物栖息地和迁徙通道、鱼类洄游通道，滥采滥捕野生动植物、擅自放牧、捕捞、取土、取水、排污、放生以及其他破坏湿地及其生态功能的活动。</w:t>
      </w:r>
    </w:p>
    <w:p>
      <w:pPr>
        <w:keepNext/>
        <w:keepLines/>
        <w:numPr>
          <w:ilvl w:val="0"/>
          <w:numId w:val="7"/>
        </w:numPr>
        <w:spacing w:before="78" w:beforeLines="25" w:after="78" w:afterLines="25" w:line="700" w:lineRule="exact"/>
        <w:ind w:left="0" w:firstLine="0"/>
        <w:jc w:val="center"/>
        <w:outlineLvl w:val="1"/>
        <w:rPr>
          <w:rFonts w:ascii="黑体" w:hAnsi="黑体" w:eastAsia="黑体" w:cs="黑体"/>
          <w:b/>
          <w:bCs/>
          <w:color w:val="auto"/>
          <w:sz w:val="32"/>
          <w:szCs w:val="32"/>
          <w:highlight w:val="none"/>
        </w:rPr>
      </w:pPr>
      <w:bookmarkStart w:id="51" w:name="_Toc9177"/>
      <w:r>
        <w:rPr>
          <w:rFonts w:hint="eastAsia" w:ascii="黑体" w:hAnsi="黑体" w:eastAsia="黑体" w:cs="黑体"/>
          <w:b/>
          <w:bCs/>
          <w:color w:val="auto"/>
          <w:sz w:val="32"/>
          <w:szCs w:val="32"/>
          <w:highlight w:val="none"/>
        </w:rPr>
        <w:t>自然资源保护和合理利用</w:t>
      </w:r>
      <w:bookmarkEnd w:id="51"/>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一、水资源保护与利用</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iCs/>
          <w:color w:val="auto"/>
          <w:sz w:val="32"/>
          <w:szCs w:val="32"/>
          <w:highlight w:val="none"/>
        </w:rPr>
        <w:t>加强对饮用水水源保护地保护。</w:t>
      </w:r>
      <w:r>
        <w:rPr>
          <w:rFonts w:hint="eastAsia" w:ascii="Times New Roman" w:hAnsi="Times New Roman" w:eastAsia="仿宋_GB2312" w:cs="Times New Roman"/>
          <w:color w:val="auto"/>
          <w:sz w:val="32"/>
          <w:szCs w:val="32"/>
          <w:highlight w:val="none"/>
        </w:rPr>
        <w:t>划定饮用水水源保护区，</w:t>
      </w:r>
    </w:p>
    <w:p>
      <w:pPr>
        <w:spacing w:line="560" w:lineRule="exact"/>
        <w:rPr>
          <w:rFonts w:ascii="Times New Roman" w:hAnsi="Times New Roman" w:eastAsia="仿宋_GB2312" w:cs="Times New Roman"/>
          <w:iCs/>
          <w:color w:val="auto"/>
          <w:sz w:val="32"/>
          <w:szCs w:val="32"/>
          <w:highlight w:val="none"/>
        </w:rPr>
      </w:pPr>
      <w:r>
        <w:rPr>
          <w:rFonts w:hint="eastAsia" w:ascii="Times New Roman" w:hAnsi="Times New Roman" w:eastAsia="仿宋_GB2312" w:cs="Times New Roman"/>
          <w:color w:val="auto"/>
          <w:sz w:val="32"/>
          <w:szCs w:val="32"/>
          <w:highlight w:val="none"/>
        </w:rPr>
        <w:t>加强对大坡水库、大坝水库、石洞水库等饮用水水源保护区的保护。</w:t>
      </w:r>
      <w:r>
        <w:rPr>
          <w:rFonts w:ascii="Times New Roman" w:hAnsi="Times New Roman" w:eastAsia="仿宋_GB2312" w:cs="Times New Roman"/>
          <w:iCs/>
          <w:color w:val="auto"/>
          <w:sz w:val="32"/>
          <w:szCs w:val="32"/>
          <w:highlight w:val="none"/>
        </w:rPr>
        <w:t>饮用水水源保护区内实施防护林建设等生物隔离，拦截污染物进入水源保护区；在饮用水水源保护区边界设立明确的地理界标和明显的警示标志；对水库水源地实施入库支流入河排污口整治、面源污染防治、农村生活污水和生活垃圾分散处理、畜禽养殖业生态化整治、水库水产养殖清退、入库口湿地建设等措施，全面整治饮用水水源保护区内</w:t>
      </w:r>
      <w:r>
        <w:rPr>
          <w:rFonts w:hint="eastAsia" w:ascii="Times New Roman" w:hAnsi="Times New Roman" w:eastAsia="仿宋_GB2312" w:cs="Times New Roman"/>
          <w:iCs/>
          <w:color w:val="auto"/>
          <w:sz w:val="32"/>
          <w:szCs w:val="32"/>
          <w:highlight w:val="none"/>
        </w:rPr>
        <w:t>的</w:t>
      </w:r>
      <w:r>
        <w:rPr>
          <w:rFonts w:ascii="Times New Roman" w:hAnsi="Times New Roman" w:eastAsia="仿宋_GB2312" w:cs="Times New Roman"/>
          <w:iCs/>
          <w:color w:val="auto"/>
          <w:sz w:val="32"/>
          <w:szCs w:val="32"/>
          <w:highlight w:val="none"/>
        </w:rPr>
        <w:t>环境问题。饮用水水源地一级保护区内禁止开展与保护水源无关的建设项目，二级保护区内禁止开展污染水源的相关活动。</w:t>
      </w:r>
    </w:p>
    <w:p>
      <w:pPr>
        <w:keepNext/>
        <w:keepLines/>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iCs/>
          <w:color w:val="auto"/>
          <w:sz w:val="32"/>
          <w:szCs w:val="32"/>
          <w:highlight w:val="none"/>
        </w:rPr>
        <w:t>加强河流岸线管理，保护河流生态网络。</w:t>
      </w:r>
      <w:r>
        <w:rPr>
          <w:rFonts w:hint="eastAsia" w:ascii="Times New Roman" w:hAnsi="Times New Roman" w:eastAsia="仿宋_GB2312" w:cs="Times New Roman"/>
          <w:color w:val="auto"/>
          <w:sz w:val="32"/>
          <w:szCs w:val="32"/>
          <w:highlight w:val="none"/>
        </w:rPr>
        <w:t>依法划定河流空间管理范围，保障河湖行洪、调蓄及生态维持等功能。强化水域空间的用途管制，严格控制河流周边开发建设活动，河流管理范围内原则上仅允许开展水利工程、市政管线、道路桥梁、综合防灾、河道整治、园林绿化、生态景观等公用设施建设，有序清退河道管理范围内违规建构筑物。</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iCs/>
          <w:color w:val="auto"/>
          <w:sz w:val="32"/>
          <w:szCs w:val="32"/>
          <w:highlight w:val="none"/>
        </w:rPr>
        <w:t>提升水源涵养功能。</w:t>
      </w:r>
      <w:r>
        <w:rPr>
          <w:rFonts w:ascii="Times New Roman" w:hAnsi="Times New Roman" w:eastAsia="仿宋_GB2312" w:cs="Times New Roman"/>
          <w:color w:val="auto"/>
          <w:sz w:val="32"/>
          <w:szCs w:val="32"/>
          <w:highlight w:val="none"/>
        </w:rPr>
        <w:t>主要推进</w:t>
      </w:r>
      <w:r>
        <w:rPr>
          <w:rFonts w:hint="eastAsia" w:ascii="Times New Roman" w:hAnsi="Times New Roman" w:eastAsia="仿宋_GB2312" w:cs="Times New Roman"/>
          <w:color w:val="auto"/>
          <w:sz w:val="32"/>
          <w:szCs w:val="32"/>
          <w:highlight w:val="none"/>
        </w:rPr>
        <w:t>金沙</w:t>
      </w:r>
      <w:r>
        <w:rPr>
          <w:rFonts w:ascii="Times New Roman" w:hAnsi="Times New Roman" w:eastAsia="仿宋_GB2312" w:cs="Times New Roman"/>
          <w:color w:val="auto"/>
          <w:sz w:val="32"/>
          <w:szCs w:val="32"/>
          <w:highlight w:val="none"/>
        </w:rPr>
        <w:t>江等水域和</w:t>
      </w:r>
      <w:r>
        <w:rPr>
          <w:rFonts w:hint="eastAsia" w:ascii="Times New Roman" w:hAnsi="Times New Roman" w:eastAsia="仿宋_GB2312" w:cs="Times New Roman"/>
          <w:color w:val="auto"/>
          <w:sz w:val="32"/>
          <w:szCs w:val="32"/>
          <w:highlight w:val="none"/>
        </w:rPr>
        <w:t>大坡水库</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大坝水库</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石洞水库、</w:t>
      </w:r>
      <w:r>
        <w:rPr>
          <w:rFonts w:ascii="Times New Roman" w:hAnsi="Times New Roman" w:eastAsia="仿宋_GB2312" w:cs="Times New Roman"/>
          <w:color w:val="auto"/>
          <w:sz w:val="32"/>
          <w:szCs w:val="32"/>
          <w:highlight w:val="none"/>
        </w:rPr>
        <w:t>乡镇饮用水源地等重点饮用水水源地的水源涵养功能区域的自然植被，禁止过度放牧、无序采矿、毁林开荒等行为。加强重点水源涵养区的生态环境保护，提升水源涵养功能。</w:t>
      </w:r>
    </w:p>
    <w:p>
      <w:pPr>
        <w:pStyle w:val="12"/>
        <w:keepNext/>
        <w:keepLines/>
        <w:spacing w:line="560" w:lineRule="exact"/>
        <w:ind w:firstLine="640"/>
        <w:rPr>
          <w:rFonts w:ascii="Times New Roman" w:hAnsi="Times New Roman" w:eastAsia="仿宋_GB2312" w:cs="Times New Roman"/>
          <w:color w:val="auto"/>
          <w:sz w:val="32"/>
          <w:szCs w:val="32"/>
          <w:highlight w:val="none"/>
        </w:rPr>
      </w:pPr>
      <w:r>
        <w:rPr>
          <w:rFonts w:hint="eastAsia" w:ascii="楷体" w:hAnsi="楷体" w:eastAsia="楷体" w:cs="楷体"/>
          <w:iCs/>
          <w:color w:val="auto"/>
          <w:sz w:val="32"/>
          <w:szCs w:val="32"/>
          <w:highlight w:val="none"/>
        </w:rPr>
        <w:t>强化水土保持区。</w:t>
      </w:r>
      <w:r>
        <w:rPr>
          <w:rFonts w:hint="eastAsia" w:ascii="Times New Roman" w:hAnsi="Times New Roman" w:eastAsia="仿宋_GB2312" w:cs="Times New Roman"/>
          <w:color w:val="auto"/>
          <w:sz w:val="32"/>
          <w:szCs w:val="32"/>
          <w:highlight w:val="none"/>
        </w:rPr>
        <w:t>大姚县</w:t>
      </w:r>
      <w:r>
        <w:rPr>
          <w:rFonts w:ascii="Times New Roman" w:hAnsi="Times New Roman" w:eastAsia="仿宋_GB2312" w:cs="Times New Roman"/>
          <w:color w:val="auto"/>
          <w:sz w:val="32"/>
          <w:szCs w:val="32"/>
          <w:highlight w:val="none"/>
        </w:rPr>
        <w:t>的水系属于金沙江水系</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主要河流</w:t>
      </w:r>
      <w:r>
        <w:rPr>
          <w:rFonts w:hint="eastAsia" w:ascii="Times New Roman" w:hAnsi="Times New Roman" w:eastAsia="仿宋_GB2312" w:cs="Times New Roman"/>
          <w:color w:val="auto"/>
          <w:sz w:val="32"/>
          <w:szCs w:val="32"/>
          <w:highlight w:val="none"/>
        </w:rPr>
        <w:t>有</w:t>
      </w:r>
      <w:r>
        <w:rPr>
          <w:rFonts w:ascii="Times New Roman" w:hAnsi="Times New Roman" w:eastAsia="仿宋_GB2312" w:cs="Times New Roman"/>
          <w:color w:val="auto"/>
          <w:sz w:val="32"/>
          <w:szCs w:val="32"/>
          <w:highlight w:val="none"/>
        </w:rPr>
        <w:t>金沙江</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蜻蛉河</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渔泡江</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长江上游生态环境脆弱、水土流失较严重，加强水土保持区天然林地、草地和湿地保护，预防水土流失，限制影响水土保持功能的各类开发和生产活动，最大限度降低人类活动造成的新的水土流失。推进植树造林重建工程，实施小流域综合治理，减缓水土流失</w:t>
      </w:r>
      <w:r>
        <w:rPr>
          <w:rFonts w:hint="eastAsia" w:ascii="Times New Roman" w:hAnsi="Times New Roman" w:eastAsia="仿宋_GB2312" w:cs="Times New Roman"/>
          <w:color w:val="auto"/>
          <w:sz w:val="32"/>
          <w:szCs w:val="32"/>
          <w:highlight w:val="none"/>
        </w:rPr>
        <w:t>。</w:t>
      </w:r>
    </w:p>
    <w:p>
      <w:pPr>
        <w:spacing w:line="560" w:lineRule="exact"/>
        <w:ind w:firstLine="640" w:firstLineChars="200"/>
        <w:rPr>
          <w:rFonts w:eastAsia="仿宋_GB2312"/>
          <w:color w:val="auto"/>
          <w:highlight w:val="none"/>
        </w:rPr>
      </w:pPr>
      <w:r>
        <w:rPr>
          <w:rFonts w:hint="eastAsia" w:ascii="楷体" w:hAnsi="楷体" w:eastAsia="楷体" w:cs="楷体"/>
          <w:color w:val="auto"/>
          <w:sz w:val="32"/>
          <w:szCs w:val="32"/>
          <w:highlight w:val="none"/>
        </w:rPr>
        <w:t>提高水资源利用效率。</w:t>
      </w:r>
      <w:r>
        <w:rPr>
          <w:rFonts w:hint="eastAsia" w:ascii="Times New Roman" w:hAnsi="Times New Roman" w:eastAsia="仿宋_GB2312" w:cs="Times New Roman"/>
          <w:color w:val="auto"/>
          <w:sz w:val="32"/>
          <w:szCs w:val="32"/>
          <w:highlight w:val="none"/>
        </w:rPr>
        <w:t>坚持以水定城、以水定地、以水定人、以水定产，坚持节水优先，全面建设节水型城市，实施用水总量控制，到2035年，大姚县</w:t>
      </w:r>
      <w:bookmarkStart w:id="52" w:name="OLE_LINK3"/>
      <w:r>
        <w:rPr>
          <w:rFonts w:hint="eastAsia" w:ascii="Times New Roman" w:hAnsi="Times New Roman" w:eastAsia="仿宋_GB2312" w:cs="Times New Roman"/>
          <w:color w:val="auto"/>
          <w:sz w:val="32"/>
          <w:szCs w:val="32"/>
          <w:highlight w:val="none"/>
        </w:rPr>
        <w:t>用水总量</w:t>
      </w:r>
      <w:bookmarkEnd w:id="52"/>
      <w:r>
        <w:rPr>
          <w:rFonts w:hint="eastAsia" w:ascii="Times New Roman" w:hAnsi="Times New Roman" w:eastAsia="仿宋_GB2312" w:cs="Times New Roman"/>
          <w:color w:val="auto"/>
          <w:sz w:val="32"/>
          <w:szCs w:val="32"/>
          <w:highlight w:val="none"/>
        </w:rPr>
        <w:t>不超过上级下达指标</w:t>
      </w:r>
      <w:r>
        <w:rPr>
          <w:rFonts w:hint="eastAsia" w:ascii="Times New Roman" w:hAnsi="Times New Roman" w:eastAsia="仿宋_GB2312" w:cs="Times New Roman"/>
          <w:color w:val="auto"/>
          <w:sz w:val="32"/>
          <w:szCs w:val="32"/>
          <w:highlight w:val="none"/>
          <w:u w:val="none"/>
        </w:rPr>
        <w:t xml:space="preserve">。 </w:t>
      </w:r>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二、森林资源保护与利用</w:t>
      </w:r>
    </w:p>
    <w:p>
      <w:pPr>
        <w:pStyle w:val="12"/>
        <w:spacing w:line="560" w:lineRule="exact"/>
        <w:ind w:firstLine="64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落实森林资源保护目标。</w:t>
      </w:r>
      <w:r>
        <w:rPr>
          <w:rFonts w:hint="eastAsia" w:ascii="Times New Roman" w:hAnsi="Times New Roman" w:eastAsia="仿宋_GB2312" w:cs="Times New Roman"/>
          <w:color w:val="auto"/>
          <w:sz w:val="32"/>
          <w:szCs w:val="32"/>
          <w:highlight w:val="none"/>
        </w:rPr>
        <w:t>落实大姚县级规划指标保护任务，到2035年，全县森林覆盖率</w:t>
      </w:r>
      <w:r>
        <w:rPr>
          <w:rFonts w:hint="eastAsia" w:ascii="Times New Roman" w:hAnsi="Times New Roman" w:eastAsia="仿宋_GB2312" w:cs="Times New Roman"/>
          <w:color w:val="auto"/>
          <w:sz w:val="32"/>
          <w:szCs w:val="32"/>
          <w:highlight w:val="none"/>
          <w:lang w:eastAsia="zh-CN"/>
        </w:rPr>
        <w:t>完成州级下达指标</w:t>
      </w:r>
      <w:r>
        <w:rPr>
          <w:rFonts w:hint="eastAsia" w:ascii="Times New Roman" w:hAnsi="Times New Roman" w:eastAsia="仿宋_GB2312" w:cs="Times New Roman"/>
          <w:color w:val="auto"/>
          <w:sz w:val="32"/>
          <w:szCs w:val="32"/>
          <w:highlight w:val="none"/>
        </w:rPr>
        <w:t>，森林质量稳步提高，森林结构得到进一步优化，生态环境脆弱情况得到显著改善。严格落实林地用途管制，控制经营性项目占用林地指标，严格执行林地征占用定额管理制度，确保到2035年林地征占用总额控制在州下达指标以内。</w:t>
      </w:r>
    </w:p>
    <w:p>
      <w:pPr>
        <w:pStyle w:val="12"/>
        <w:spacing w:line="560" w:lineRule="exact"/>
        <w:ind w:firstLine="640"/>
        <w:rPr>
          <w:rFonts w:ascii="Times New Roman" w:hAnsi="Times New Roman" w:eastAsia="仿宋_GB2312" w:cs="Times New Roman"/>
          <w:color w:val="auto"/>
          <w:sz w:val="32"/>
          <w:szCs w:val="32"/>
          <w:highlight w:val="none"/>
          <w:lang w:eastAsia="zh-CN"/>
        </w:rPr>
      </w:pPr>
      <w:r>
        <w:rPr>
          <w:rFonts w:hint="eastAsia" w:ascii="楷体" w:hAnsi="楷体" w:eastAsia="楷体" w:cs="楷体"/>
          <w:color w:val="auto"/>
          <w:sz w:val="32"/>
          <w:szCs w:val="32"/>
          <w:highlight w:val="none"/>
          <w:lang w:eastAsia="zh-CN"/>
        </w:rPr>
        <w:t>合理划定林地后备资源补充空间。</w:t>
      </w:r>
      <w:r>
        <w:rPr>
          <w:rFonts w:hint="eastAsia" w:ascii="Times New Roman" w:hAnsi="Times New Roman" w:eastAsia="仿宋_GB2312" w:cs="Times New Roman"/>
          <w:color w:val="auto"/>
          <w:sz w:val="32"/>
          <w:szCs w:val="32"/>
          <w:highlight w:val="none"/>
          <w:lang w:eastAsia="zh-CN"/>
        </w:rPr>
        <w:t>林业资源与生态环境密切相关，能够保护生态平衡，在宜林区域科学划定林地后备资源补充空间</w:t>
      </w:r>
      <w:r>
        <w:rPr>
          <w:rFonts w:ascii="Times New Roman" w:hAnsi="Times New Roman" w:eastAsia="仿宋_GB2312" w:cs="Times New Roman"/>
          <w:color w:val="auto"/>
          <w:sz w:val="32"/>
          <w:szCs w:val="32"/>
          <w:highlight w:val="none"/>
          <w:lang w:eastAsia="zh-CN"/>
        </w:rPr>
        <w:t>。</w:t>
      </w:r>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三、草地湿地资源保护与利用</w:t>
      </w:r>
    </w:p>
    <w:p>
      <w:pPr>
        <w:spacing w:line="560" w:lineRule="exact"/>
        <w:ind w:firstLine="640" w:firstLineChars="200"/>
        <w:rPr>
          <w:rFonts w:ascii="Times New Roman" w:hAnsi="Times New Roman" w:eastAsia="仿宋_GB2312" w:cs="Times New Roman"/>
          <w:color w:val="auto"/>
          <w:kern w:val="1"/>
          <w:sz w:val="32"/>
          <w:szCs w:val="32"/>
          <w:highlight w:val="none"/>
          <w:lang w:eastAsia="ar-SA"/>
        </w:rPr>
      </w:pPr>
      <w:r>
        <w:rPr>
          <w:rFonts w:hint="eastAsia" w:ascii="楷体" w:hAnsi="楷体" w:eastAsia="楷体" w:cs="楷体"/>
          <w:color w:val="auto"/>
          <w:kern w:val="1"/>
          <w:sz w:val="32"/>
          <w:szCs w:val="32"/>
          <w:highlight w:val="none"/>
          <w:lang w:eastAsia="ar-SA"/>
        </w:rPr>
        <w:t>落实草地保护目标，加强草地管控。</w:t>
      </w:r>
      <w:r>
        <w:rPr>
          <w:rFonts w:hint="eastAsia" w:ascii="Times New Roman" w:hAnsi="Times New Roman" w:eastAsia="仿宋_GB2312" w:cs="Times New Roman"/>
          <w:color w:val="auto"/>
          <w:kern w:val="1"/>
          <w:sz w:val="32"/>
          <w:szCs w:val="32"/>
          <w:highlight w:val="none"/>
          <w:lang w:eastAsia="ar-SA"/>
        </w:rPr>
        <w:t>帽台山草原公园是大姚县草原区位重要区域，为保证大姚县草原生态的持续持续稳定发展，应以帽台山草原公园为主要区域，合理利用草地资源，适时开展草地生态保护修复研究，保护好天然草地原生态，提升草地生态功能。</w:t>
      </w:r>
    </w:p>
    <w:p>
      <w:pPr>
        <w:spacing w:line="560" w:lineRule="exact"/>
        <w:ind w:firstLine="640" w:firstLineChars="200"/>
        <w:rPr>
          <w:rFonts w:ascii="Times New Roman" w:hAnsi="Times New Roman" w:eastAsia="仿宋_GB2312" w:cs="Times New Roman"/>
          <w:color w:val="auto"/>
          <w:kern w:val="1"/>
          <w:sz w:val="32"/>
          <w:szCs w:val="32"/>
          <w:highlight w:val="none"/>
        </w:rPr>
      </w:pPr>
      <w:r>
        <w:rPr>
          <w:rFonts w:hint="eastAsia" w:ascii="楷体" w:hAnsi="楷体" w:eastAsia="楷体" w:cs="楷体"/>
          <w:color w:val="auto"/>
          <w:kern w:val="1"/>
          <w:sz w:val="32"/>
          <w:szCs w:val="32"/>
          <w:highlight w:val="none"/>
          <w:lang w:eastAsia="ar-SA"/>
        </w:rPr>
        <w:t>明确湿地保护目标，加强湿地管控。</w:t>
      </w:r>
      <w:r>
        <w:rPr>
          <w:rFonts w:hint="eastAsia" w:ascii="Times New Roman" w:hAnsi="Times New Roman" w:eastAsia="仿宋_GB2312" w:cs="Times New Roman"/>
          <w:color w:val="auto"/>
          <w:kern w:val="1"/>
          <w:sz w:val="32"/>
          <w:szCs w:val="32"/>
          <w:highlight w:val="none"/>
          <w:lang w:eastAsia="ar-SA"/>
        </w:rPr>
        <w:t>大姚县湿地面积均为内陆滩涂。湿地具备巨大的环境调节功能和生态效益，它在提供水资源、调节气候、涵养水源等方面发挥着重要作用。保护湿地生物多样性安全，确保湿地生态系统的健康，充分发挥湿地系统的多种功能和效益，维持湿地生态平衡。</w:t>
      </w:r>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四、矿产资源保护与利用</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提高全县矿产资源利用效率。</w:t>
      </w:r>
      <w:r>
        <w:rPr>
          <w:rFonts w:hint="eastAsia" w:ascii="Times New Roman" w:hAnsi="Times New Roman" w:eastAsia="仿宋_GB2312" w:cs="Times New Roman"/>
          <w:color w:val="auto"/>
          <w:sz w:val="32"/>
          <w:szCs w:val="32"/>
          <w:highlight w:val="none"/>
        </w:rPr>
        <w:t>坚持矿产资源节约集约利用，大姚开采量较大的主要有铜、铁、金、云母、盐等矿产。对规模小、生产技术落后、采富弃贫、资源利用率低、严重污染环境，并存在安全隐患的小规模矿山进行整顿或关闭等措施。支持资源节约、技术先进、生态环保，具有资金、技术和管理优势的采矿企业与加工企业联合，引导加工企业收购上游开采企业，形成采选加一体化模式。至规划期末，主要矿山开发利用工艺技术和设备符合资源节约与综合利用要求，技术经济水平达到省内先进行列；主要大中型矿山“三率”指标达到国家标准，矿产资源开发利用达到国内同行业先进水平。</w:t>
      </w:r>
    </w:p>
    <w:p>
      <w:pPr>
        <w:widowControl/>
        <w:jc w:val="left"/>
        <w:rPr>
          <w:rFonts w:ascii="宋体" w:hAnsi="宋体" w:eastAsia="宋体"/>
          <w:color w:val="auto"/>
          <w:sz w:val="30"/>
          <w:szCs w:val="30"/>
          <w:highlight w:val="none"/>
        </w:rPr>
      </w:pPr>
      <w:r>
        <w:rPr>
          <w:rFonts w:ascii="宋体" w:hAnsi="宋体" w:eastAsia="宋体"/>
          <w:color w:val="auto"/>
          <w:sz w:val="30"/>
          <w:szCs w:val="30"/>
          <w:highlight w:val="none"/>
        </w:rPr>
        <w:br w:type="page"/>
      </w:r>
    </w:p>
    <w:p>
      <w:pPr>
        <w:pStyle w:val="2"/>
        <w:numPr>
          <w:ilvl w:val="0"/>
          <w:numId w:val="2"/>
        </w:numPr>
        <w:spacing w:before="120" w:after="120" w:line="360" w:lineRule="auto"/>
        <w:ind w:left="0"/>
        <w:jc w:val="center"/>
        <w:rPr>
          <w:rFonts w:ascii="黑体" w:hAnsi="黑体" w:eastAsia="黑体" w:cs="黑体"/>
          <w:color w:val="auto"/>
          <w:sz w:val="36"/>
          <w:szCs w:val="36"/>
          <w:highlight w:val="none"/>
        </w:rPr>
      </w:pPr>
      <w:r>
        <w:rPr>
          <w:rFonts w:hint="eastAsia" w:ascii="黑体" w:hAnsi="黑体" w:eastAsia="黑体" w:cs="黑体"/>
          <w:color w:val="auto"/>
          <w:sz w:val="36"/>
          <w:szCs w:val="36"/>
          <w:highlight w:val="none"/>
        </w:rPr>
        <w:t xml:space="preserve"> </w:t>
      </w:r>
      <w:bookmarkStart w:id="53" w:name="_Toc24160"/>
      <w:r>
        <w:rPr>
          <w:rFonts w:hint="eastAsia" w:ascii="黑体" w:hAnsi="黑体" w:eastAsia="黑体" w:cs="黑体"/>
          <w:color w:val="auto"/>
          <w:sz w:val="36"/>
          <w:szCs w:val="36"/>
          <w:highlight w:val="none"/>
        </w:rPr>
        <w:t>优化城乡发展空间</w:t>
      </w:r>
      <w:bookmarkEnd w:id="53"/>
    </w:p>
    <w:p>
      <w:pPr>
        <w:keepNext/>
        <w:keepLines/>
        <w:numPr>
          <w:ilvl w:val="0"/>
          <w:numId w:val="8"/>
        </w:numPr>
        <w:spacing w:before="78" w:beforeLines="25" w:after="78" w:afterLines="25" w:line="700" w:lineRule="exact"/>
        <w:ind w:left="0" w:firstLine="0"/>
        <w:jc w:val="center"/>
        <w:outlineLvl w:val="1"/>
        <w:rPr>
          <w:rFonts w:ascii="黑体" w:hAnsi="黑体" w:eastAsia="黑体" w:cs="黑体"/>
          <w:b/>
          <w:bCs/>
          <w:color w:val="auto"/>
          <w:sz w:val="32"/>
          <w:szCs w:val="32"/>
          <w:highlight w:val="none"/>
        </w:rPr>
      </w:pPr>
      <w:bookmarkStart w:id="54" w:name="_Toc18597"/>
      <w:r>
        <w:rPr>
          <w:rFonts w:hint="eastAsia" w:ascii="黑体" w:hAnsi="黑体" w:eastAsia="黑体" w:cs="黑体"/>
          <w:b/>
          <w:bCs/>
          <w:color w:val="auto"/>
          <w:sz w:val="32"/>
          <w:szCs w:val="32"/>
          <w:highlight w:val="none"/>
        </w:rPr>
        <w:t>县域人口</w:t>
      </w:r>
      <w:bookmarkEnd w:id="54"/>
    </w:p>
    <w:p>
      <w:pPr>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县域人口规模。</w:t>
      </w:r>
      <w:r>
        <w:rPr>
          <w:rFonts w:hint="eastAsia" w:ascii="Times New Roman" w:hAnsi="Times New Roman" w:eastAsia="仿宋_GB2312" w:cs="Times New Roman"/>
          <w:color w:val="auto"/>
          <w:sz w:val="32"/>
          <w:szCs w:val="32"/>
          <w:highlight w:val="none"/>
        </w:rPr>
        <w:t>到2035年，大姚县常住人口达到23.10万人。</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中心城区人口规模。</w:t>
      </w:r>
      <w:r>
        <w:rPr>
          <w:rFonts w:hint="eastAsia" w:ascii="Times New Roman" w:hAnsi="Times New Roman" w:eastAsia="仿宋_GB2312" w:cs="Times New Roman"/>
          <w:color w:val="auto"/>
          <w:sz w:val="32"/>
          <w:szCs w:val="32"/>
          <w:highlight w:val="none"/>
        </w:rPr>
        <w:t>到2035年，大姚县中心城区常住人口达到9.0万人。</w:t>
      </w:r>
    </w:p>
    <w:p>
      <w:pPr>
        <w:keepNext/>
        <w:keepLines/>
        <w:numPr>
          <w:ilvl w:val="0"/>
          <w:numId w:val="8"/>
        </w:numPr>
        <w:spacing w:before="78" w:beforeLines="25" w:after="78" w:afterLines="25" w:line="700" w:lineRule="exact"/>
        <w:ind w:left="0" w:firstLine="0"/>
        <w:jc w:val="center"/>
        <w:outlineLvl w:val="1"/>
        <w:rPr>
          <w:rFonts w:ascii="黑体" w:hAnsi="黑体" w:eastAsia="黑体" w:cs="黑体"/>
          <w:b/>
          <w:bCs/>
          <w:color w:val="auto"/>
          <w:sz w:val="32"/>
          <w:szCs w:val="32"/>
          <w:highlight w:val="none"/>
        </w:rPr>
      </w:pPr>
      <w:bookmarkStart w:id="55" w:name="_Toc7288"/>
      <w:r>
        <w:rPr>
          <w:rFonts w:hint="eastAsia" w:ascii="黑体" w:hAnsi="黑体" w:eastAsia="黑体" w:cs="黑体"/>
          <w:b/>
          <w:bCs/>
          <w:color w:val="auto"/>
          <w:sz w:val="32"/>
          <w:szCs w:val="32"/>
          <w:highlight w:val="none"/>
        </w:rPr>
        <w:t>县域</w:t>
      </w:r>
      <w:r>
        <w:rPr>
          <w:rFonts w:hint="eastAsia" w:ascii="黑体" w:hAnsi="黑体" w:eastAsia="黑体" w:cs="黑体"/>
          <w:b/>
          <w:bCs/>
          <w:color w:val="auto"/>
          <w:sz w:val="32"/>
          <w:szCs w:val="32"/>
          <w:highlight w:val="none"/>
          <w:lang w:val="en-US" w:eastAsia="zh-CN"/>
        </w:rPr>
        <w:t>城镇</w:t>
      </w:r>
      <w:r>
        <w:rPr>
          <w:rFonts w:hint="eastAsia" w:ascii="黑体" w:hAnsi="黑体" w:eastAsia="黑体" w:cs="黑体"/>
          <w:b/>
          <w:bCs/>
          <w:color w:val="auto"/>
          <w:sz w:val="32"/>
          <w:szCs w:val="32"/>
          <w:highlight w:val="none"/>
        </w:rPr>
        <w:t>体系构建及城乡融合</w:t>
      </w:r>
      <w:bookmarkEnd w:id="55"/>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一、“一核三极、轴带支撑、三片联动”城</w:t>
      </w:r>
      <w:r>
        <w:rPr>
          <w:rFonts w:hint="eastAsia" w:ascii="黑体" w:hAnsi="黑体" w:eastAsia="黑体" w:cs="黑体"/>
          <w:b w:val="0"/>
          <w:bCs w:val="0"/>
          <w:color w:val="auto"/>
          <w:highlight w:val="none"/>
          <w:lang w:val="en-US" w:eastAsia="zh-CN"/>
        </w:rPr>
        <w:t>镇</w:t>
      </w:r>
      <w:r>
        <w:rPr>
          <w:rFonts w:hint="eastAsia" w:ascii="黑体" w:hAnsi="黑体" w:eastAsia="黑体" w:cs="黑体"/>
          <w:b w:val="0"/>
          <w:bCs w:val="0"/>
          <w:color w:val="auto"/>
          <w:highlight w:val="none"/>
        </w:rPr>
        <w:t>空间格局</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以高速路及国省干道为支撑，积极对接滇中城市群，加快与周边区域协同发展，形成“一核三极、轴带支撑、三片联动”的</w:t>
      </w:r>
      <w:r>
        <w:rPr>
          <w:rFonts w:hint="eastAsia" w:ascii="Times New Roman" w:hAnsi="Times New Roman" w:eastAsia="仿宋_GB2312" w:cs="Times New Roman"/>
          <w:color w:val="auto"/>
          <w:sz w:val="32"/>
          <w:szCs w:val="32"/>
          <w:highlight w:val="none"/>
          <w:lang w:val="en-US" w:eastAsia="zh-CN"/>
        </w:rPr>
        <w:t>城镇</w:t>
      </w:r>
      <w:r>
        <w:rPr>
          <w:rFonts w:hint="eastAsia" w:ascii="Times New Roman" w:hAnsi="Times New Roman" w:eastAsia="仿宋_GB2312" w:cs="Times New Roman"/>
          <w:color w:val="auto"/>
          <w:sz w:val="32"/>
          <w:szCs w:val="32"/>
          <w:highlight w:val="none"/>
        </w:rPr>
        <w:t>空间格局。</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一核三极。</w:t>
      </w:r>
      <w:r>
        <w:rPr>
          <w:rFonts w:hint="eastAsia" w:ascii="Times New Roman" w:hAnsi="Times New Roman" w:eastAsia="仿宋_GB2312" w:cs="Times New Roman"/>
          <w:color w:val="auto"/>
          <w:sz w:val="32"/>
          <w:szCs w:val="32"/>
          <w:highlight w:val="none"/>
        </w:rPr>
        <w:t>一核：即大姚县城发展核心，提供综合服务职能，加强引导产业集聚，全面提升城镇品质。三极：即龙街、石羊及湾碧三个产业增长极，形成大姚县域东部、西部和北部三个增长点，带动全域经济发展；建设龙街现代农业强镇，推动传统农业产业转型升级；打造石羊文化旅游名镇，形成具有强大吸引力的旅游极核，引领带动全域旅游发展；打造湾碧商贸集镇，依托码头及区位优势发展商贸物流产业。</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轴带支撑。</w:t>
      </w:r>
      <w:r>
        <w:rPr>
          <w:rFonts w:hint="eastAsia" w:ascii="Times New Roman" w:hAnsi="Times New Roman" w:eastAsia="仿宋_GB2312" w:cs="Times New Roman"/>
          <w:color w:val="auto"/>
          <w:sz w:val="32"/>
          <w:szCs w:val="32"/>
          <w:highlight w:val="none"/>
        </w:rPr>
        <w:t>一轴：南（华）永（仁）大姚发展轴，完善南永经济带大姚段布局，实施县城城市更新改造，综合开发仓七街片区和赵家店片区土地资源，融合永仁北大门建设形成攀枝花产业转移承接地，辐射带动龙街、新街两镇，加快构建县域融合发展新区。两带：元（谋）祥（云）大姚发展带，依托石羊孔庙儒家文化和盐文化资源，将文化旅游产业发展融合到昆明、攀枝花、大理等旅游富集区；大（姚）丽（江）大姚发展带，以瓦湾线沿线乡镇为节点，优化乡镇及产业功能，建设发展大丽大姚经济带。</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三片联动。</w:t>
      </w:r>
      <w:r>
        <w:rPr>
          <w:rFonts w:hint="eastAsia" w:ascii="Times New Roman" w:hAnsi="Times New Roman" w:eastAsia="仿宋_GB2312" w:cs="Times New Roman"/>
          <w:color w:val="auto"/>
          <w:sz w:val="32"/>
          <w:szCs w:val="32"/>
          <w:highlight w:val="none"/>
        </w:rPr>
        <w:t>东部重点产业发展区：以县城为中心，龙街为辅助，赵家店、新街、六苴三镇为支点打造县域发展核心片区，重点发展绿色食品加工、绿色农业、新型能源、机械制造、生物医药、轻纺加工等新型产业。西部文化旅游发展区：以石羊为重点，昙华、三台、桂花为支撑，加强培育以民族风情、山水风光为主的文化旅游业。北部沿江特色发展区：以湾碧为重点，铁锁、三岔河为支撑，依托码头发展电商及物流等现代商贸产业，发展以核桃、花椒、热作、中药材、水产及山地牧业等为主的绿色产业。</w:t>
      </w:r>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二、引导城镇体系优化布局</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衔接州国土空间总体规划中的城镇体系布局要求，优化构建大姚县“中心城区—重点镇—一般乡镇”城镇体系布局。</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中心城区：</w:t>
      </w:r>
      <w:r>
        <w:rPr>
          <w:rFonts w:hint="eastAsia" w:ascii="Times New Roman" w:hAnsi="Times New Roman" w:eastAsia="仿宋_GB2312" w:cs="Times New Roman"/>
          <w:color w:val="auto"/>
          <w:sz w:val="32"/>
          <w:szCs w:val="32"/>
          <w:highlight w:val="none"/>
        </w:rPr>
        <w:t>县域政治、经济、文化中心及发展核心。</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重点镇：</w:t>
      </w:r>
      <w:r>
        <w:rPr>
          <w:rFonts w:hint="eastAsia" w:ascii="Times New Roman" w:hAnsi="Times New Roman" w:eastAsia="仿宋_GB2312" w:cs="Times New Roman"/>
          <w:color w:val="auto"/>
          <w:sz w:val="32"/>
          <w:szCs w:val="32"/>
          <w:highlight w:val="none"/>
        </w:rPr>
        <w:t>石羊镇、龙街镇、湾碧傣族傈僳族乡、六苴镇、</w:t>
      </w:r>
    </w:p>
    <w:p>
      <w:pPr>
        <w:spacing w:line="560" w:lineRule="exact"/>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赵家店镇、新街镇、三岔河镇。</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一般乡镇：</w:t>
      </w:r>
      <w:r>
        <w:rPr>
          <w:rFonts w:hint="eastAsia" w:ascii="Times New Roman" w:hAnsi="Times New Roman" w:eastAsia="仿宋_GB2312" w:cs="Times New Roman"/>
          <w:color w:val="auto"/>
          <w:sz w:val="32"/>
          <w:szCs w:val="32"/>
          <w:highlight w:val="none"/>
        </w:rPr>
        <w:t>桂花镇、昙华乡、铁锁乡、三台乡。</w:t>
      </w:r>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三、明确城</w:t>
      </w:r>
      <w:r>
        <w:rPr>
          <w:rFonts w:hint="eastAsia" w:ascii="黑体" w:hAnsi="黑体" w:eastAsia="黑体" w:cs="黑体"/>
          <w:b w:val="0"/>
          <w:bCs w:val="0"/>
          <w:color w:val="auto"/>
          <w:highlight w:val="none"/>
          <w:lang w:val="en-US" w:eastAsia="zh-CN"/>
        </w:rPr>
        <w:t>镇</w:t>
      </w:r>
      <w:r>
        <w:rPr>
          <w:rFonts w:hint="eastAsia" w:ascii="黑体" w:hAnsi="黑体" w:eastAsia="黑体" w:cs="黑体"/>
          <w:b w:val="0"/>
          <w:bCs w:val="0"/>
          <w:color w:val="auto"/>
          <w:highlight w:val="none"/>
        </w:rPr>
        <w:t>体系职能结构</w:t>
      </w:r>
    </w:p>
    <w:p>
      <w:pPr>
        <w:spacing w:line="560" w:lineRule="exact"/>
        <w:ind w:firstLine="640" w:firstLineChars="200"/>
        <w:rPr>
          <w:color w:val="auto"/>
          <w:highlight w:val="none"/>
        </w:rPr>
      </w:pPr>
      <w:r>
        <w:rPr>
          <w:rFonts w:hint="eastAsia" w:ascii="Times New Roman" w:hAnsi="Times New Roman" w:eastAsia="仿宋_GB2312" w:cs="Times New Roman"/>
          <w:color w:val="auto"/>
          <w:sz w:val="32"/>
          <w:szCs w:val="32"/>
          <w:highlight w:val="none"/>
        </w:rPr>
        <w:t>依托资源优势，促进大姚形成主导产业和城乡特色，注重城镇间的分工与协作关系。将城乡职能划分为综合型、绿色工业型、商贸型、旅游型、现代农业型和农贸型六种。其中，金碧镇为综合型，石羊镇为旅游型、农贸型，六苴镇为绿色工业型，三岔河镇为商贸型、生态农业型，湾碧乡为商贸型，龙街镇为农贸型，</w:t>
      </w:r>
      <w:r>
        <w:rPr>
          <w:rFonts w:ascii="Times New Roman" w:hAnsi="Times New Roman" w:eastAsia="仿宋_GB2312" w:cs="Times New Roman"/>
          <w:color w:val="auto"/>
          <w:sz w:val="32"/>
          <w:szCs w:val="32"/>
          <w:highlight w:val="none"/>
        </w:rPr>
        <w:t>赵家店</w:t>
      </w:r>
      <w:r>
        <w:rPr>
          <w:rFonts w:hint="eastAsia" w:ascii="Times New Roman" w:hAnsi="Times New Roman" w:eastAsia="仿宋_GB2312" w:cs="Times New Roman"/>
          <w:color w:val="auto"/>
          <w:sz w:val="32"/>
          <w:szCs w:val="32"/>
          <w:highlight w:val="none"/>
        </w:rPr>
        <w:t>镇为农贸型、旅游型，新街镇为现代农业型，昙华乡为现代农业型、旅游型，</w:t>
      </w:r>
      <w:r>
        <w:rPr>
          <w:rFonts w:ascii="Times New Roman" w:hAnsi="Times New Roman" w:eastAsia="仿宋_GB2312" w:cs="Times New Roman"/>
          <w:color w:val="auto"/>
          <w:sz w:val="32"/>
          <w:szCs w:val="32"/>
          <w:highlight w:val="none"/>
        </w:rPr>
        <w:t>三台</w:t>
      </w:r>
      <w:r>
        <w:rPr>
          <w:rFonts w:hint="eastAsia" w:ascii="Times New Roman" w:hAnsi="Times New Roman" w:eastAsia="仿宋_GB2312" w:cs="Times New Roman"/>
          <w:color w:val="auto"/>
          <w:sz w:val="32"/>
          <w:szCs w:val="32"/>
          <w:highlight w:val="none"/>
        </w:rPr>
        <w:t>乡为现代农业型、旅游型，</w:t>
      </w:r>
      <w:r>
        <w:rPr>
          <w:rFonts w:ascii="Times New Roman" w:hAnsi="Times New Roman" w:eastAsia="仿宋_GB2312" w:cs="Times New Roman"/>
          <w:color w:val="auto"/>
          <w:sz w:val="32"/>
          <w:szCs w:val="32"/>
          <w:highlight w:val="none"/>
        </w:rPr>
        <w:t>铁锁</w:t>
      </w:r>
      <w:r>
        <w:rPr>
          <w:rFonts w:hint="eastAsia" w:ascii="Times New Roman" w:hAnsi="Times New Roman" w:eastAsia="仿宋_GB2312" w:cs="Times New Roman"/>
          <w:color w:val="auto"/>
          <w:sz w:val="32"/>
          <w:szCs w:val="32"/>
          <w:highlight w:val="none"/>
        </w:rPr>
        <w:t>乡为现代农业型、旅游型，</w:t>
      </w:r>
      <w:r>
        <w:rPr>
          <w:rFonts w:ascii="Times New Roman" w:hAnsi="Times New Roman" w:eastAsia="仿宋_GB2312" w:cs="Times New Roman"/>
          <w:color w:val="auto"/>
          <w:sz w:val="32"/>
          <w:szCs w:val="32"/>
          <w:highlight w:val="none"/>
        </w:rPr>
        <w:t>桂花</w:t>
      </w:r>
      <w:r>
        <w:rPr>
          <w:rFonts w:hint="eastAsia" w:ascii="Times New Roman" w:hAnsi="Times New Roman" w:eastAsia="仿宋_GB2312" w:cs="Times New Roman"/>
          <w:color w:val="auto"/>
          <w:sz w:val="32"/>
          <w:szCs w:val="32"/>
          <w:highlight w:val="none"/>
        </w:rPr>
        <w:t>镇为现代农业型、旅游型。</w:t>
      </w:r>
    </w:p>
    <w:p>
      <w:pPr>
        <w:keepNext/>
        <w:keepLines/>
        <w:numPr>
          <w:ilvl w:val="0"/>
          <w:numId w:val="8"/>
        </w:numPr>
        <w:spacing w:before="78" w:beforeLines="25" w:after="78" w:afterLines="25" w:line="700" w:lineRule="exact"/>
        <w:ind w:left="0" w:firstLine="0"/>
        <w:jc w:val="center"/>
        <w:outlineLvl w:val="1"/>
        <w:rPr>
          <w:rFonts w:ascii="黑体" w:hAnsi="黑体" w:eastAsia="黑体" w:cs="黑体"/>
          <w:b/>
          <w:bCs/>
          <w:color w:val="auto"/>
          <w:sz w:val="32"/>
          <w:szCs w:val="32"/>
          <w:highlight w:val="none"/>
        </w:rPr>
      </w:pPr>
      <w:bookmarkStart w:id="56" w:name="_Toc2187"/>
      <w:r>
        <w:rPr>
          <w:rFonts w:hint="eastAsia" w:ascii="黑体" w:hAnsi="黑体" w:eastAsia="黑体" w:cs="黑体"/>
          <w:b/>
          <w:bCs/>
          <w:color w:val="auto"/>
          <w:sz w:val="32"/>
          <w:szCs w:val="32"/>
          <w:highlight w:val="none"/>
        </w:rPr>
        <w:t>县域产业空间布局</w:t>
      </w:r>
      <w:bookmarkEnd w:id="56"/>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一、优化县域产业空间格局</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打造“一核、三群、四园、多点”的县域产业空间布局结构。</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“一核”：</w:t>
      </w:r>
      <w:r>
        <w:rPr>
          <w:rFonts w:hint="eastAsia" w:ascii="Times New Roman" w:hAnsi="Times New Roman" w:eastAsia="仿宋_GB2312" w:cs="Times New Roman"/>
          <w:color w:val="auto"/>
          <w:sz w:val="32"/>
          <w:szCs w:val="32"/>
          <w:highlight w:val="none"/>
        </w:rPr>
        <w:t>即核心产业集群引擎，包括中心城区及其周边辐射区域共同构成的产业集群。</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“三群”：</w:t>
      </w:r>
      <w:r>
        <w:rPr>
          <w:rFonts w:hint="eastAsia" w:ascii="Times New Roman" w:hAnsi="Times New Roman" w:eastAsia="仿宋_GB2312" w:cs="Times New Roman"/>
          <w:color w:val="auto"/>
          <w:sz w:val="32"/>
          <w:szCs w:val="32"/>
          <w:highlight w:val="none"/>
        </w:rPr>
        <w:t>即县域西北部、北部和南部三个绿色能源产业集群。</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“四园”：</w:t>
      </w:r>
      <w:r>
        <w:rPr>
          <w:rFonts w:hint="eastAsia" w:ascii="Times New Roman" w:hAnsi="Times New Roman" w:eastAsia="仿宋_GB2312" w:cs="Times New Roman"/>
          <w:color w:val="auto"/>
          <w:sz w:val="32"/>
          <w:szCs w:val="32"/>
          <w:highlight w:val="none"/>
        </w:rPr>
        <w:t>即四个产业园，包括特色农业产业园、新型工业产业园、现代物流产业园、健康产业园。特色农业产业园重点建设集高原特色现代农业产业样板区、产业兴旺引领区和产业融合发展示范园、农业科技示范园为一体的园区功能；新型工业产业园培植以绿色食品加工、轻纺加工、生物医药为主的金碧绿色食品产业园区和以装备制造为主的南山坝装备制造产业园区为一体的园区功能；现代物流产业园发展仓储物流、冷链物流、智慧物流、电子商务等物流新业态新模式；健康产业园以大姚核桃康养小镇为重点，开发旅游、彝药等健康资源，推进医养结合，发展健康旅居、健康养老等产业功能。</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“多点”：</w:t>
      </w:r>
      <w:r>
        <w:rPr>
          <w:rFonts w:hint="eastAsia" w:ascii="Times New Roman" w:hAnsi="Times New Roman" w:eastAsia="仿宋_GB2312" w:cs="Times New Roman"/>
          <w:color w:val="auto"/>
          <w:sz w:val="32"/>
          <w:szCs w:val="32"/>
          <w:highlight w:val="none"/>
        </w:rPr>
        <w:t>包括四个特色城镇和多个产业种植基地，即石羊文化旅游型特色古镇、湾碧热作民族风情体验康养型特色城镇、昙华生态康养型特色城镇、赵家店三潭休闲度假型康养特色城镇以及核桃种植基地、水果种植基地、蚕桑产业基地、中药材种植基地等多个种植基地。</w:t>
      </w:r>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二、统筹划定</w:t>
      </w:r>
      <w:bookmarkStart w:id="57" w:name="OLE_LINK4"/>
      <w:r>
        <w:rPr>
          <w:rFonts w:hint="eastAsia" w:ascii="黑体" w:hAnsi="黑体" w:eastAsia="黑体" w:cs="黑体"/>
          <w:b w:val="0"/>
          <w:bCs w:val="0"/>
          <w:color w:val="auto"/>
          <w:highlight w:val="none"/>
        </w:rPr>
        <w:t>工业红线</w:t>
      </w:r>
      <w:bookmarkEnd w:id="57"/>
    </w:p>
    <w:p>
      <w:pPr>
        <w:spacing w:line="560" w:lineRule="exact"/>
        <w:ind w:firstLine="640" w:firstLineChars="200"/>
        <w:rPr>
          <w:rFonts w:ascii="仿宋_GB2312" w:hAnsi="宋体" w:eastAsia="仿宋_GB2312"/>
          <w:color w:val="auto"/>
          <w:sz w:val="32"/>
          <w:szCs w:val="32"/>
          <w:highlight w:val="none"/>
        </w:rPr>
      </w:pPr>
      <w:r>
        <w:rPr>
          <w:rFonts w:hint="eastAsia" w:ascii="仿宋_GB2312" w:eastAsia="仿宋_GB2312"/>
          <w:color w:val="auto"/>
          <w:sz w:val="32"/>
          <w:szCs w:val="32"/>
          <w:highlight w:val="none"/>
        </w:rPr>
        <w:t>工业用地红线管理应符合国土空间规划用途管制要求，经批准的工业用地红线划定成果（包括调整成果），</w:t>
      </w:r>
      <w:r>
        <w:rPr>
          <w:rFonts w:ascii="仿宋_GB2312" w:eastAsia="仿宋_GB2312"/>
          <w:color w:val="auto"/>
          <w:sz w:val="32"/>
          <w:szCs w:val="32"/>
          <w:highlight w:val="none"/>
        </w:rPr>
        <w:t>由当地自然资源主管部门纳入国土空间规划“一张图”基础信息平台；其中调整成果入库信息应列明所属调整情形、项目名称等情况。</w:t>
      </w:r>
      <w:r>
        <w:rPr>
          <w:rFonts w:hint="eastAsia" w:ascii="仿宋_GB2312" w:hAnsi="宋体" w:eastAsia="仿宋_GB2312"/>
          <w:color w:val="auto"/>
          <w:sz w:val="32"/>
          <w:szCs w:val="32"/>
          <w:highlight w:val="none"/>
        </w:rPr>
        <w:t>国土空间规划调整“三区三线”管控边界时，应优先将工业用地拓展线范围纳入城镇开发边界，同步调整为工业用地保障线，并编制或修改详细规划用以实施管理。</w:t>
      </w:r>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三、培强绿色食品产业</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促进高原特色农业向绿色、精致、高效、智慧转型，打造全省绿色食品基地。擦亮“中国核桃之乡”名片，争创全省“一县一业”核桃示范县，着力建设核桃花椒种质资源示范基地、植物蛋白基地和滇中、川滇核桃加工交易核心区和集散地。（一）提升粮烟畜产业。实施粮食安全工程，以金碧、龙街、石羊、新街、赵家店等乡镇为重点区域，以水稻、玉米、小麦、蚕豆等粮食作物为主，打造大姚县粮食安全示范区；巩固提升烟草产业；壮大山地牧业，做大做强生猪产业，培养肉牛、黑山羊、禽业等优势产业带。（二）培强优势产业。培强大姚核桃、蚕桑、花椒产业，推动蚕桑产业全链条发展；培强续断、金银花、板蓝根、桔梗、天麻、云木香等10余个中药材品种种植，建设云南省中药材种植基地、药品制造加工基地、全国彝药研发生产基地以及中彝医诊疗康复和休闲养生基地。（三）培植特色产业。发展蔬菜、水果等高效设施农业，建设魔芋、百合、辣椒、食用菌为主的优质蔬菜基地，建设芒果、石榴等鲜食水果种植示范基地，打造万亩特色蔬菜种植示范基地和鲜食水果种植示范基地。引导清香木、香樟、栾树、滇朴、大姚核桃、花椒、华山松等绿化、经济苗圃发展，建设板栗、华山松、树葱等特色林果基地。（四）发展林下经济。积极发展以野生菌为主的林下经济，促进野生菌资源可持续利用。发展林下中药材、林下天然食品、林下畜禽养殖。（五）发展绿色食品加工。依托金碧产业园区建设绿色食品加工基地，发展大姚核桃、野坝子蜂蜜、小把粉丝、白芸豆、蚕豆、魔芋、辣椒及黑山羊等绿色食品加工。</w:t>
      </w:r>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四、培强绿色能源产业</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加快大姚县能源结构优化调整，提高可再生能源比例。以绿色、循环、低碳为理念，形成绿色生产生活方式，高质量把大姚县打造成为云南省“风光水储”一体化清洁能源基地，强化太阳能光伏发电、风电、管道天然气、生物质等新能源利用，完善储能系统空间布局及建设，合理规划布局绿色能源配套设施建设空间。在石羊镇、昙华乡、金碧镇、龙街镇、铁索乡、湾碧乡、赵家店镇、新街镇等乡镇布局光伏发电项目，在党政机关、公共建筑、工商业厂房、农村居民建筑等建设屋顶分布式光伏；以大姚县南部为主要地区布局风电项目；实施大姚县抽水蓄能电站项目，构建以新能源为主体的“源网荷储一体化”新型电力系统。加强天然气资源利用，充分利用楚攀天然气管道，新建大姚县天然气综合利用工程一期（龙街至县城天然气供应支线管道）和二期（县城区域及县城周边建设中压燃气管道、县城至周边乡镇及南山坝工业园区新建次高压燃气管道）项目，推进大姚县天然气开发利用、中缅天然气管道姚安至大姚支线段、大姚县天然气发电站（位于龙街镇塔底村委会）等项目布局；加快大姚生物质能开发利用，充分利用丰富的农作物秸秆、城镇生活垃圾等生物质资源，发展生活垃圾和生产秸秆焚烧发电。</w:t>
      </w:r>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五、培强康养旅游产业</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建设省级康养旅游示范区。以大姚核桃康养小镇（永丰湖）为核心，以石羊文化旅游小镇等为支撑，建设中彝医药康体保健旅游示范基地和健康体验园，积极发展“健康+旅游”项目、康体健身产业，推进高原体育训练基地建设，规范发展徒步、马拉松、自行车、漂流、定向运动等产品业态，推动体育运动、观光农业、文化体验、乡村旅游融合发展，发展自驾游、健身游等新业态新产品，推进彝绣文化产业发展。建设省级旅游特色城市和健康产业基地，把大姚建成颐养之地、康养之城。主动融入大滇西旅游环线建设，做精金沙江观光游、核桃康养深度游、千年古镇文化游三条特色旅游线，推动大姚由旅游过境地向旅游目的地转变。</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完善大姚中心城区</w:t>
      </w:r>
      <w:r>
        <w:rPr>
          <w:rFonts w:ascii="Times New Roman" w:hAnsi="Times New Roman" w:eastAsia="仿宋_GB2312" w:cs="Times New Roman"/>
          <w:color w:val="auto"/>
          <w:sz w:val="32"/>
          <w:szCs w:val="32"/>
          <w:highlight w:val="none"/>
        </w:rPr>
        <w:t>医疗设施</w:t>
      </w:r>
      <w:r>
        <w:rPr>
          <w:rFonts w:hint="eastAsia" w:ascii="Times New Roman" w:hAnsi="Times New Roman" w:eastAsia="仿宋_GB2312" w:cs="Times New Roman"/>
          <w:color w:val="auto"/>
          <w:sz w:val="32"/>
          <w:szCs w:val="32"/>
          <w:highlight w:val="none"/>
        </w:rPr>
        <w:t>供给及</w:t>
      </w:r>
      <w:r>
        <w:rPr>
          <w:rFonts w:ascii="Times New Roman" w:hAnsi="Times New Roman" w:eastAsia="仿宋_GB2312" w:cs="Times New Roman"/>
          <w:color w:val="auto"/>
          <w:sz w:val="32"/>
          <w:szCs w:val="32"/>
          <w:highlight w:val="none"/>
        </w:rPr>
        <w:t>乡镇卫生院</w:t>
      </w:r>
      <w:r>
        <w:rPr>
          <w:rFonts w:hint="eastAsia" w:ascii="Times New Roman" w:hAnsi="Times New Roman" w:eastAsia="仿宋_GB2312" w:cs="Times New Roman"/>
          <w:color w:val="auto"/>
          <w:sz w:val="32"/>
          <w:szCs w:val="32"/>
          <w:highlight w:val="none"/>
        </w:rPr>
        <w:t>服务水平，</w:t>
      </w:r>
      <w:r>
        <w:rPr>
          <w:rFonts w:ascii="Times New Roman" w:hAnsi="Times New Roman" w:eastAsia="仿宋_GB2312" w:cs="Times New Roman"/>
          <w:color w:val="auto"/>
          <w:sz w:val="32"/>
          <w:szCs w:val="32"/>
          <w:highlight w:val="none"/>
        </w:rPr>
        <w:t>建设多层次养老服务体系</w:t>
      </w:r>
      <w:r>
        <w:rPr>
          <w:rFonts w:hint="eastAsia" w:ascii="Times New Roman" w:hAnsi="Times New Roman" w:eastAsia="仿宋_GB2312" w:cs="Times New Roman"/>
          <w:color w:val="auto"/>
          <w:sz w:val="32"/>
          <w:szCs w:val="32"/>
          <w:highlight w:val="none"/>
        </w:rPr>
        <w:t>；推进医养结合，形成覆盖城乡、规模适宜、功能合理的医养结合服务网络；传承创新发展中彝医药“治未病”服务。</w:t>
      </w:r>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六、培强装备制造业</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依托国家产业转型升级、发达地区产业转移等机遇，按照“产业集聚、资源节约、土地节约、绿色发展”理念，深入实施工业振兴行动，建设南山坝装备制造产业园，打造全州乃至全省重要的装备制造业产业基地。完善大姚产业园区南山坝片区基础设施和信息化服务设施建设，加快引进一批新能源汽车以及零配件、数控机床、农业机械等领域的大型研发制造企业，发展绿色制造、先进制造、智能制造、电子制造等高新技术产业，打造新兴产业链，推动传统制造产业高端化、智能化、绿色化发展，打造大姚南山坝片区先进制造业产业集群。</w:t>
      </w:r>
    </w:p>
    <w:p>
      <w:pPr>
        <w:keepNext/>
        <w:keepLines/>
        <w:numPr>
          <w:ilvl w:val="0"/>
          <w:numId w:val="8"/>
        </w:numPr>
        <w:spacing w:before="78" w:beforeLines="25" w:after="78" w:afterLines="25" w:line="700" w:lineRule="exact"/>
        <w:ind w:left="0" w:firstLine="0"/>
        <w:jc w:val="center"/>
        <w:outlineLvl w:val="1"/>
        <w:rPr>
          <w:rFonts w:ascii="黑体" w:hAnsi="黑体" w:eastAsia="黑体" w:cs="黑体"/>
          <w:b/>
          <w:bCs/>
          <w:color w:val="auto"/>
          <w:sz w:val="32"/>
          <w:szCs w:val="32"/>
          <w:highlight w:val="none"/>
        </w:rPr>
      </w:pPr>
      <w:bookmarkStart w:id="58" w:name="_Toc28508"/>
      <w:r>
        <w:rPr>
          <w:rFonts w:hint="eastAsia" w:ascii="黑体" w:hAnsi="黑体" w:eastAsia="黑体" w:cs="黑体"/>
          <w:b/>
          <w:bCs/>
          <w:color w:val="auto"/>
          <w:sz w:val="32"/>
          <w:szCs w:val="32"/>
          <w:highlight w:val="none"/>
        </w:rPr>
        <w:t>乡村振兴与村庄布局</w:t>
      </w:r>
      <w:bookmarkEnd w:id="58"/>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一、分类营造特色魅力村庄</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根据村庄区位条件、发展基础和资源禀赋，引导乡村分类发展，推动土地、产业等资源要素合理配置。统筹考虑大姚县域范围行政村，划分集聚发展类村庄</w:t>
      </w:r>
      <w:r>
        <w:rPr>
          <w:rFonts w:hint="eastAsia" w:ascii="Times New Roman" w:hAnsi="Times New Roman" w:eastAsia="仿宋_GB2312" w:cs="Times New Roman"/>
          <w:color w:val="auto"/>
          <w:sz w:val="32"/>
          <w:szCs w:val="32"/>
          <w:highlight w:val="none"/>
          <w:lang w:val="en-US" w:eastAsia="zh-CN"/>
        </w:rPr>
        <w:t>33</w:t>
      </w:r>
      <w:r>
        <w:rPr>
          <w:rFonts w:hint="eastAsia" w:ascii="Times New Roman" w:hAnsi="Times New Roman" w:eastAsia="仿宋_GB2312" w:cs="Times New Roman"/>
          <w:color w:val="auto"/>
          <w:sz w:val="32"/>
          <w:szCs w:val="32"/>
          <w:highlight w:val="none"/>
        </w:rPr>
        <w:t>个、整治提升类村庄8</w:t>
      </w:r>
      <w:r>
        <w:rPr>
          <w:rFonts w:hint="eastAsia" w:ascii="Times New Roman" w:hAnsi="Times New Roman" w:eastAsia="仿宋_GB2312" w:cs="Times New Roman"/>
          <w:color w:val="auto"/>
          <w:sz w:val="32"/>
          <w:szCs w:val="32"/>
          <w:highlight w:val="none"/>
          <w:lang w:val="en-US" w:eastAsia="zh-CN"/>
        </w:rPr>
        <w:t>5</w:t>
      </w:r>
      <w:r>
        <w:rPr>
          <w:rFonts w:hint="eastAsia" w:ascii="Times New Roman" w:hAnsi="Times New Roman" w:eastAsia="仿宋_GB2312" w:cs="Times New Roman"/>
          <w:color w:val="auto"/>
          <w:sz w:val="32"/>
          <w:szCs w:val="32"/>
          <w:highlight w:val="none"/>
        </w:rPr>
        <w:t>个、城郊融合类村庄共</w:t>
      </w:r>
      <w:r>
        <w:rPr>
          <w:rFonts w:hint="eastAsia" w:ascii="Times New Roman" w:hAnsi="Times New Roman" w:eastAsia="仿宋_GB2312" w:cs="Times New Roman"/>
          <w:color w:val="auto"/>
          <w:sz w:val="32"/>
          <w:szCs w:val="32"/>
          <w:highlight w:val="none"/>
          <w:lang w:val="en-US" w:eastAsia="zh-CN"/>
        </w:rPr>
        <w:t>11</w:t>
      </w:r>
      <w:r>
        <w:rPr>
          <w:rFonts w:hint="eastAsia" w:ascii="Times New Roman" w:hAnsi="Times New Roman" w:eastAsia="仿宋_GB2312" w:cs="Times New Roman"/>
          <w:color w:val="auto"/>
          <w:sz w:val="32"/>
          <w:szCs w:val="32"/>
          <w:highlight w:val="none"/>
        </w:rPr>
        <w:t>个。</w:t>
      </w:r>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二、构建完善的村庄规划体系</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根据不同类型村庄发展，有序推进全县村庄规划编制。村庄规划应严格落实总体规划确定的各类底线要素、约束性指标等刚性管控要求，优先用好存量，合理布局增量，优化村庄规模与布局，保留大姚乡村特色风貌。加强村庄区域管控，山区空间按照适度集中的原则，推进迁村并户，引导村庄向宜建山地布局；坝区空间优化坝区村庄布局，引导布局零乱、居住分散、闲置低效的自然村及居民点向县城、中心乡镇和中心村集中，控制村庄无序散乱蔓延。建立健全村庄规划建设管理机制，全面实施乡村建设规划许可制度。</w:t>
      </w:r>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三、构建乡村社区生活圈</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构建以行政村为主的一级生活圈，构建以乡集镇所在地为核心的二级生活圈。同步考虑人口变化态势对公共服务设施配置的影响，因地制宜按照行政管理设施、教育设施、文化体育设施、医疗卫生设施、社会福利设施等优化大姚县村庄公共服务设施配置。临近城区或镇区村庄可优先由城区或镇区提供服务。各项建设内容符合《云南省“多规合一”实用性村庄规划编制指南（试行）修订版》等有关标准并鼓励集中建设。</w:t>
      </w:r>
    </w:p>
    <w:p>
      <w:pPr>
        <w:keepNext/>
        <w:keepLines/>
        <w:numPr>
          <w:ilvl w:val="0"/>
          <w:numId w:val="8"/>
        </w:numPr>
        <w:spacing w:before="78" w:beforeLines="25" w:after="78" w:afterLines="25" w:line="700" w:lineRule="exact"/>
        <w:ind w:left="0" w:firstLine="0"/>
        <w:jc w:val="center"/>
        <w:outlineLvl w:val="1"/>
        <w:rPr>
          <w:rFonts w:ascii="黑体" w:hAnsi="黑体" w:eastAsia="黑体" w:cs="黑体"/>
          <w:b/>
          <w:bCs/>
          <w:color w:val="auto"/>
          <w:sz w:val="32"/>
          <w:szCs w:val="32"/>
          <w:highlight w:val="none"/>
        </w:rPr>
      </w:pPr>
      <w:bookmarkStart w:id="59" w:name="_Toc21690"/>
      <w:r>
        <w:rPr>
          <w:rFonts w:hint="eastAsia" w:ascii="黑体" w:hAnsi="黑体" w:eastAsia="黑体" w:cs="黑体"/>
          <w:b/>
          <w:bCs/>
          <w:color w:val="auto"/>
          <w:sz w:val="32"/>
          <w:szCs w:val="32"/>
          <w:highlight w:val="none"/>
        </w:rPr>
        <w:t>建设用地集约节约利用</w:t>
      </w:r>
      <w:bookmarkEnd w:id="59"/>
    </w:p>
    <w:p>
      <w:pPr>
        <w:pStyle w:val="4"/>
        <w:numPr>
          <w:ilvl w:val="2"/>
          <w:numId w:val="0"/>
        </w:numPr>
        <w:spacing w:before="0" w:after="0" w:line="560" w:lineRule="exact"/>
        <w:ind w:firstLine="640" w:firstLineChars="200"/>
        <w:rPr>
          <w:rFonts w:ascii="Times New Roman" w:hAnsi="Times New Roman" w:eastAsia="仿宋_GB2312" w:cs="Times New Roman"/>
          <w:color w:val="auto"/>
          <w:highlight w:val="none"/>
        </w:rPr>
      </w:pPr>
      <w:r>
        <w:rPr>
          <w:rFonts w:hint="eastAsia" w:ascii="黑体" w:hAnsi="黑体" w:eastAsia="黑体" w:cs="黑体"/>
          <w:b w:val="0"/>
          <w:bCs w:val="0"/>
          <w:color w:val="auto"/>
          <w:highlight w:val="none"/>
        </w:rPr>
        <w:t>一、强化城镇新建用地集约节约</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健全大姚县用地考核机制和评价体系，推广应用节地技术和节地模式。严格土地使用标准和节约集约评价，强化重大建设项目节约集约用地的刚性约束，新上项目应达到省同行业当前节约集约用地的先进水平。严格控制城镇建设用地总量，按照城镇开发边界范围和建设用地指标开展集中建设。到2035年，推进大姚县新建用地更加集约节约利用，人均城镇建设用地面积控制在国家标准范围内。</w:t>
      </w:r>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二、盘活存量建设用地</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重点盘活金碧镇等地区未被充分利用的闲置半闲置土地。增效、升级、精准高效策划更新项目。盘活大姚县批而未用的建设用地，促进城乡土地、集体土地之间的土地置换转换，切实盘活存量土地，实现土地集聚效益；推进城镇低效用地再开发，鼓励推进商业、居住、公共服务、市政基础设施等用地的混合开发与空间复合利用，提升存量土地节约集约利用水平和空间整体价值；积极推进农村建设用地相对集中和集约利用。</w:t>
      </w:r>
    </w:p>
    <w:p>
      <w:pPr>
        <w:keepNext/>
        <w:keepLines/>
        <w:numPr>
          <w:ilvl w:val="0"/>
          <w:numId w:val="8"/>
        </w:numPr>
        <w:spacing w:before="78" w:beforeLines="25" w:after="78" w:afterLines="25" w:line="700" w:lineRule="exact"/>
        <w:ind w:left="0" w:firstLine="0"/>
        <w:jc w:val="center"/>
        <w:outlineLvl w:val="1"/>
        <w:rPr>
          <w:rFonts w:ascii="黑体" w:hAnsi="黑体" w:eastAsia="黑体" w:cs="黑体"/>
          <w:b/>
          <w:bCs/>
          <w:color w:val="auto"/>
          <w:sz w:val="32"/>
          <w:szCs w:val="32"/>
          <w:highlight w:val="none"/>
        </w:rPr>
      </w:pPr>
      <w:bookmarkStart w:id="60" w:name="_Toc18010"/>
      <w:r>
        <w:rPr>
          <w:rFonts w:hint="eastAsia" w:ascii="黑体" w:hAnsi="黑体" w:eastAsia="黑体" w:cs="黑体"/>
          <w:b/>
          <w:bCs/>
          <w:color w:val="auto"/>
          <w:sz w:val="32"/>
          <w:szCs w:val="32"/>
          <w:highlight w:val="none"/>
        </w:rPr>
        <w:t>明确战略预留空间</w:t>
      </w:r>
      <w:bookmarkEnd w:id="60"/>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大姚县位于楚北对外开放合作重要门户的特殊地理位置，按照“一核三级、轴带支撑、三片联动”的城乡空间格局，统筹南山坝产业园区发展需求，本规划在中心城区金碧镇、特色古镇石羊镇、农文旅结合城镇赵家店镇、矿产资源城镇六苴镇预留必要的战略空间。</w:t>
      </w:r>
    </w:p>
    <w:p>
      <w:pPr>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br w:type="page"/>
      </w:r>
    </w:p>
    <w:p>
      <w:pPr>
        <w:pStyle w:val="2"/>
        <w:numPr>
          <w:ilvl w:val="0"/>
          <w:numId w:val="2"/>
        </w:numPr>
        <w:spacing w:before="120" w:after="120" w:line="360" w:lineRule="auto"/>
        <w:ind w:left="0"/>
        <w:jc w:val="center"/>
        <w:rPr>
          <w:rFonts w:ascii="黑体" w:hAnsi="黑体" w:eastAsia="黑体" w:cs="黑体"/>
          <w:color w:val="auto"/>
          <w:sz w:val="36"/>
          <w:szCs w:val="36"/>
          <w:highlight w:val="none"/>
        </w:rPr>
      </w:pPr>
      <w:r>
        <w:rPr>
          <w:rFonts w:hint="eastAsia" w:ascii="黑体" w:hAnsi="黑体" w:eastAsia="黑体" w:cs="黑体"/>
          <w:color w:val="auto"/>
          <w:sz w:val="36"/>
          <w:szCs w:val="36"/>
          <w:highlight w:val="none"/>
        </w:rPr>
        <w:t xml:space="preserve"> </w:t>
      </w:r>
      <w:bookmarkStart w:id="61" w:name="_Toc32445"/>
      <w:r>
        <w:rPr>
          <w:rFonts w:hint="eastAsia" w:ascii="黑体" w:hAnsi="黑体" w:eastAsia="黑体" w:cs="黑体"/>
          <w:color w:val="auto"/>
          <w:sz w:val="36"/>
          <w:szCs w:val="36"/>
          <w:highlight w:val="none"/>
        </w:rPr>
        <w:t>中心城区国土空间规划</w:t>
      </w:r>
      <w:bookmarkEnd w:id="61"/>
    </w:p>
    <w:p>
      <w:pPr>
        <w:keepNext/>
        <w:keepLines/>
        <w:numPr>
          <w:ilvl w:val="0"/>
          <w:numId w:val="9"/>
        </w:numPr>
        <w:spacing w:before="78" w:beforeLines="25" w:after="78" w:afterLines="25" w:line="700" w:lineRule="exact"/>
        <w:ind w:left="0" w:firstLine="0"/>
        <w:jc w:val="center"/>
        <w:outlineLvl w:val="1"/>
        <w:rPr>
          <w:rFonts w:ascii="黑体" w:hAnsi="黑体" w:eastAsia="黑体" w:cs="黑体"/>
          <w:b/>
          <w:bCs/>
          <w:color w:val="auto"/>
          <w:sz w:val="32"/>
          <w:szCs w:val="32"/>
          <w:highlight w:val="none"/>
        </w:rPr>
      </w:pPr>
      <w:bookmarkStart w:id="62" w:name="_Toc5756"/>
      <w:r>
        <w:rPr>
          <w:rFonts w:hint="eastAsia" w:ascii="黑体" w:hAnsi="黑体" w:eastAsia="黑体" w:cs="黑体"/>
          <w:b/>
          <w:bCs/>
          <w:color w:val="auto"/>
          <w:sz w:val="32"/>
          <w:szCs w:val="32"/>
          <w:highlight w:val="none"/>
        </w:rPr>
        <w:t>中心城区空间结构与规划分区</w:t>
      </w:r>
      <w:bookmarkEnd w:id="62"/>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一、中心城区规划空间结构</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建立与大姚山水环境格局和中心城区功能结构相耦合的城区空间结构，着力推进人口、产业、居住、服务均衡发展。中心城区空间结构规划为：“两廊、三河、三塔、四湖、五山、三片区”，总体上形成东控、南拓、西扩、北延的发展态势。</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“两廊”：</w:t>
      </w:r>
      <w:r>
        <w:rPr>
          <w:rFonts w:hint="eastAsia" w:ascii="Times New Roman" w:hAnsi="Times New Roman" w:eastAsia="仿宋_GB2312" w:cs="Times New Roman"/>
          <w:color w:val="auto"/>
          <w:sz w:val="32"/>
          <w:szCs w:val="32"/>
          <w:highlight w:val="none"/>
        </w:rPr>
        <w:t>南永生态廊道、元大生态廊道；</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“三河”：</w:t>
      </w:r>
      <w:r>
        <w:rPr>
          <w:rFonts w:ascii="Times New Roman" w:hAnsi="Times New Roman" w:eastAsia="仿宋_GB2312" w:cs="Times New Roman"/>
          <w:color w:val="auto"/>
          <w:sz w:val="32"/>
          <w:szCs w:val="32"/>
          <w:highlight w:val="none"/>
        </w:rPr>
        <w:t>西河、小南河、蜻蛉河</w:t>
      </w:r>
      <w:r>
        <w:rPr>
          <w:rFonts w:hint="eastAsia" w:ascii="Times New Roman" w:hAnsi="Times New Roman" w:eastAsia="仿宋_GB2312" w:cs="Times New Roman"/>
          <w:color w:val="auto"/>
          <w:sz w:val="32"/>
          <w:szCs w:val="32"/>
          <w:highlight w:val="none"/>
        </w:rPr>
        <w:t>，作为中心城区重要的河流</w:t>
      </w:r>
      <w:r>
        <w:rPr>
          <w:rFonts w:ascii="Times New Roman" w:hAnsi="Times New Roman" w:eastAsia="仿宋_GB2312" w:cs="Times New Roman"/>
          <w:color w:val="auto"/>
          <w:sz w:val="32"/>
          <w:szCs w:val="32"/>
          <w:highlight w:val="none"/>
        </w:rPr>
        <w:t>；</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“三塔”：</w:t>
      </w:r>
      <w:r>
        <w:rPr>
          <w:rFonts w:hint="eastAsia" w:ascii="Times New Roman" w:hAnsi="Times New Roman" w:eastAsia="仿宋_GB2312" w:cs="Times New Roman"/>
          <w:color w:val="auto"/>
          <w:sz w:val="32"/>
          <w:szCs w:val="32"/>
          <w:highlight w:val="none"/>
        </w:rPr>
        <w:t>白塔、锁水塔、文笔塔；</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“四湖”：</w:t>
      </w:r>
      <w:r>
        <w:rPr>
          <w:rFonts w:ascii="Times New Roman" w:hAnsi="Times New Roman" w:eastAsia="仿宋_GB2312" w:cs="Times New Roman"/>
          <w:color w:val="auto"/>
          <w:sz w:val="32"/>
          <w:szCs w:val="32"/>
          <w:highlight w:val="none"/>
        </w:rPr>
        <w:t>白塔湖、东塔湖、蜻蛉湖及永丰湖；</w:t>
      </w:r>
    </w:p>
    <w:p>
      <w:pPr>
        <w:spacing w:line="560" w:lineRule="exact"/>
        <w:ind w:left="319" w:leftChars="152" w:firstLine="320" w:firstLineChars="10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“五山”：</w:t>
      </w:r>
      <w:r>
        <w:rPr>
          <w:rFonts w:ascii="Times New Roman" w:hAnsi="Times New Roman" w:eastAsia="仿宋_GB2312" w:cs="Times New Roman"/>
          <w:color w:val="auto"/>
          <w:sz w:val="32"/>
          <w:szCs w:val="32"/>
          <w:highlight w:val="none"/>
        </w:rPr>
        <w:t>东塔山、南塔山、西山、白塔山及</w:t>
      </w:r>
      <w:r>
        <w:rPr>
          <w:rFonts w:hint="eastAsia" w:ascii="Times New Roman" w:hAnsi="Times New Roman" w:eastAsia="仿宋_GB2312" w:cs="Times New Roman"/>
          <w:color w:val="auto"/>
          <w:sz w:val="32"/>
          <w:szCs w:val="32"/>
          <w:highlight w:val="none"/>
        </w:rPr>
        <w:t>东北部山体；</w:t>
      </w:r>
    </w:p>
    <w:p>
      <w:pPr>
        <w:spacing w:line="560" w:lineRule="exact"/>
        <w:ind w:firstLine="640" w:firstLineChars="200"/>
        <w:rPr>
          <w:rFonts w:ascii="楷体" w:hAnsi="楷体" w:eastAsia="楷体" w:cs="楷体"/>
          <w:color w:val="auto"/>
          <w:sz w:val="32"/>
          <w:szCs w:val="32"/>
          <w:highlight w:val="none"/>
        </w:rPr>
      </w:pPr>
      <w:r>
        <w:rPr>
          <w:rFonts w:hint="eastAsia" w:ascii="楷体" w:hAnsi="楷体" w:eastAsia="楷体" w:cs="楷体"/>
          <w:color w:val="auto"/>
          <w:sz w:val="32"/>
          <w:szCs w:val="32"/>
          <w:highlight w:val="none"/>
        </w:rPr>
        <w:t>“三片区”：</w:t>
      </w:r>
      <w:r>
        <w:rPr>
          <w:rFonts w:hint="eastAsia" w:ascii="Times New Roman" w:hAnsi="Times New Roman" w:eastAsia="仿宋_GB2312" w:cs="Times New Roman"/>
          <w:color w:val="auto"/>
          <w:sz w:val="32"/>
          <w:szCs w:val="32"/>
          <w:highlight w:val="none"/>
        </w:rPr>
        <w:t>西北部产业发展片区、老城综合服务片区</w:t>
      </w:r>
      <w:r>
        <w:rPr>
          <w:rFonts w:hint="eastAsia" w:ascii="Times New Roman" w:hAnsi="Times New Roman" w:eastAsia="仿宋_GB2312" w:cs="Times New Roman"/>
          <w:color w:val="auto"/>
          <w:sz w:val="32"/>
          <w:szCs w:val="32"/>
          <w:highlight w:val="none"/>
          <w:lang w:val="en-US" w:eastAsia="zh-CN"/>
        </w:rPr>
        <w:t>及</w:t>
      </w:r>
      <w:r>
        <w:rPr>
          <w:rFonts w:hint="eastAsia" w:ascii="Times New Roman" w:hAnsi="Times New Roman" w:eastAsia="仿宋_GB2312" w:cs="Times New Roman"/>
          <w:color w:val="auto"/>
          <w:sz w:val="32"/>
          <w:szCs w:val="32"/>
          <w:highlight w:val="none"/>
        </w:rPr>
        <w:t>东部宜居生活片区。</w:t>
      </w:r>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二、中心城区规划分区管控</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将大姚县中心城区分为居住生活区、综合服务区、商业商务区、工业发展区、绿地休闲区、交通枢纽区、战略预留区、</w:t>
      </w:r>
      <w:r>
        <w:rPr>
          <w:rFonts w:hint="eastAsia" w:ascii="Times New Roman" w:hAnsi="Times New Roman" w:eastAsia="仿宋_GB2312" w:cs="Times New Roman"/>
          <w:color w:val="auto"/>
          <w:sz w:val="32"/>
          <w:szCs w:val="32"/>
          <w:highlight w:val="none"/>
          <w:lang w:val="en-US" w:eastAsia="zh-CN"/>
        </w:rPr>
        <w:t>林业发展</w:t>
      </w:r>
      <w:r>
        <w:rPr>
          <w:rFonts w:hint="eastAsia" w:ascii="Times New Roman" w:hAnsi="Times New Roman" w:eastAsia="仿宋_GB2312" w:cs="Times New Roman"/>
          <w:color w:val="auto"/>
          <w:sz w:val="32"/>
          <w:szCs w:val="32"/>
          <w:highlight w:val="none"/>
        </w:rPr>
        <w:t>区、农田保护区、村庄建设区</w:t>
      </w:r>
      <w:r>
        <w:rPr>
          <w:rFonts w:hint="eastAsia" w:ascii="Times New Roman" w:hAnsi="Times New Roman" w:eastAsia="仿宋_GB2312" w:cs="Times New Roman"/>
          <w:color w:val="auto"/>
          <w:sz w:val="32"/>
          <w:szCs w:val="32"/>
          <w:highlight w:val="none"/>
          <w:lang w:val="en-US" w:eastAsia="zh-CN"/>
        </w:rPr>
        <w:t>和</w:t>
      </w:r>
      <w:r>
        <w:rPr>
          <w:rFonts w:hint="eastAsia" w:ascii="Times New Roman" w:hAnsi="Times New Roman" w:eastAsia="仿宋_GB2312" w:cs="Times New Roman"/>
          <w:color w:val="auto"/>
          <w:sz w:val="32"/>
          <w:szCs w:val="32"/>
          <w:highlight w:val="none"/>
        </w:rPr>
        <w:t>一般农业区。</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居住生活区：</w:t>
      </w:r>
      <w:r>
        <w:rPr>
          <w:rFonts w:hint="eastAsia" w:ascii="Times New Roman" w:hAnsi="Times New Roman" w:eastAsia="仿宋_GB2312" w:cs="Times New Roman"/>
          <w:color w:val="auto"/>
          <w:sz w:val="32"/>
          <w:szCs w:val="32"/>
          <w:highlight w:val="none"/>
        </w:rPr>
        <w:t>占中心城区国土面积的2</w:t>
      </w:r>
      <w:r>
        <w:rPr>
          <w:rFonts w:hint="eastAsia"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35</w:t>
      </w:r>
      <w:r>
        <w:rPr>
          <w:rFonts w:hint="eastAsia" w:ascii="Times New Roman" w:hAnsi="Times New Roman" w:eastAsia="仿宋_GB2312" w:cs="Times New Roman"/>
          <w:color w:val="auto"/>
          <w:sz w:val="32"/>
          <w:szCs w:val="32"/>
          <w:highlight w:val="none"/>
        </w:rPr>
        <w:t>%。</w:t>
      </w:r>
      <w:r>
        <w:rPr>
          <w:rFonts w:hint="eastAsia" w:ascii="楷体" w:hAnsi="楷体" w:eastAsia="楷体" w:cs="楷体"/>
          <w:color w:val="auto"/>
          <w:sz w:val="32"/>
          <w:szCs w:val="32"/>
          <w:highlight w:val="none"/>
        </w:rPr>
        <w:t>综合服务区：</w:t>
      </w:r>
      <w:r>
        <w:rPr>
          <w:rFonts w:hint="eastAsia" w:ascii="Times New Roman" w:hAnsi="Times New Roman" w:eastAsia="仿宋_GB2312" w:cs="Times New Roman"/>
          <w:color w:val="auto"/>
          <w:sz w:val="32"/>
          <w:szCs w:val="32"/>
          <w:highlight w:val="none"/>
        </w:rPr>
        <w:t>占中心城区国土面积的</w:t>
      </w:r>
      <w:r>
        <w:rPr>
          <w:rFonts w:hint="eastAsia" w:ascii="Times New Roman" w:hAnsi="Times New Roman" w:eastAsia="仿宋_GB2312" w:cs="Times New Roman"/>
          <w:color w:val="auto"/>
          <w:sz w:val="32"/>
          <w:szCs w:val="32"/>
          <w:highlight w:val="none"/>
          <w:lang w:val="en-US" w:eastAsia="zh-CN"/>
        </w:rPr>
        <w:t>6.93</w:t>
      </w:r>
      <w:r>
        <w:rPr>
          <w:rFonts w:hint="eastAsia" w:ascii="Times New Roman" w:hAnsi="Times New Roman" w:eastAsia="仿宋_GB2312" w:cs="Times New Roman"/>
          <w:color w:val="auto"/>
          <w:sz w:val="32"/>
          <w:szCs w:val="32"/>
          <w:highlight w:val="none"/>
        </w:rPr>
        <w:t>%。</w:t>
      </w:r>
      <w:r>
        <w:rPr>
          <w:rFonts w:hint="eastAsia" w:ascii="楷体" w:hAnsi="楷体" w:eastAsia="楷体" w:cs="楷体"/>
          <w:color w:val="auto"/>
          <w:sz w:val="32"/>
          <w:szCs w:val="32"/>
          <w:highlight w:val="none"/>
        </w:rPr>
        <w:t>商业商务区：</w:t>
      </w:r>
      <w:r>
        <w:rPr>
          <w:rFonts w:hint="eastAsia" w:ascii="Times New Roman" w:hAnsi="Times New Roman" w:eastAsia="仿宋_GB2312" w:cs="Times New Roman"/>
          <w:color w:val="auto"/>
          <w:sz w:val="32"/>
          <w:szCs w:val="32"/>
          <w:highlight w:val="none"/>
        </w:rPr>
        <w:t>占中心城区国土面积的4.</w:t>
      </w:r>
      <w:r>
        <w:rPr>
          <w:rFonts w:hint="eastAsia" w:ascii="Times New Roman" w:hAnsi="Times New Roman" w:eastAsia="仿宋_GB2312" w:cs="Times New Roman"/>
          <w:color w:val="auto"/>
          <w:sz w:val="32"/>
          <w:szCs w:val="32"/>
          <w:highlight w:val="none"/>
          <w:lang w:val="en-US" w:eastAsia="zh-CN"/>
        </w:rPr>
        <w:t>50</w:t>
      </w:r>
      <w:r>
        <w:rPr>
          <w:rFonts w:hint="eastAsia" w:ascii="Times New Roman" w:hAnsi="Times New Roman" w:eastAsia="仿宋_GB2312" w:cs="Times New Roman"/>
          <w:color w:val="auto"/>
          <w:sz w:val="32"/>
          <w:szCs w:val="32"/>
          <w:highlight w:val="none"/>
        </w:rPr>
        <w:t>%。</w:t>
      </w:r>
      <w:r>
        <w:rPr>
          <w:rFonts w:hint="eastAsia" w:ascii="楷体" w:hAnsi="楷体" w:eastAsia="楷体" w:cs="楷体"/>
          <w:color w:val="auto"/>
          <w:sz w:val="32"/>
          <w:szCs w:val="32"/>
          <w:highlight w:val="none"/>
        </w:rPr>
        <w:t>工业发展区：</w:t>
      </w:r>
      <w:r>
        <w:rPr>
          <w:rFonts w:hint="eastAsia" w:ascii="Times New Roman" w:hAnsi="Times New Roman" w:eastAsia="仿宋_GB2312" w:cs="Times New Roman"/>
          <w:color w:val="auto"/>
          <w:sz w:val="32"/>
          <w:szCs w:val="32"/>
          <w:highlight w:val="none"/>
        </w:rPr>
        <w:t>占中心城区国土面积的2.80%。</w:t>
      </w:r>
      <w:r>
        <w:rPr>
          <w:rFonts w:hint="eastAsia" w:ascii="楷体" w:hAnsi="楷体" w:eastAsia="楷体" w:cs="楷体"/>
          <w:color w:val="auto"/>
          <w:sz w:val="32"/>
          <w:szCs w:val="32"/>
          <w:highlight w:val="none"/>
        </w:rPr>
        <w:t>绿地休闲区：</w:t>
      </w:r>
      <w:r>
        <w:rPr>
          <w:rFonts w:hint="eastAsia" w:ascii="Times New Roman" w:hAnsi="Times New Roman" w:eastAsia="仿宋_GB2312" w:cs="Times New Roman"/>
          <w:color w:val="auto"/>
          <w:sz w:val="32"/>
          <w:szCs w:val="32"/>
          <w:highlight w:val="none"/>
        </w:rPr>
        <w:t>占中心城区国土面积的4.4</w:t>
      </w:r>
      <w:r>
        <w:rPr>
          <w:rFonts w:hint="eastAsia"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rPr>
        <w:t>%。</w:t>
      </w:r>
      <w:r>
        <w:rPr>
          <w:rFonts w:hint="eastAsia" w:ascii="楷体" w:hAnsi="楷体" w:eastAsia="楷体" w:cs="楷体"/>
          <w:color w:val="auto"/>
          <w:sz w:val="32"/>
          <w:szCs w:val="32"/>
          <w:highlight w:val="none"/>
        </w:rPr>
        <w:t>交通枢纽区：</w:t>
      </w:r>
      <w:r>
        <w:rPr>
          <w:rFonts w:hint="eastAsia" w:ascii="Times New Roman" w:hAnsi="Times New Roman" w:eastAsia="仿宋_GB2312" w:cs="Times New Roman"/>
          <w:color w:val="auto"/>
          <w:sz w:val="32"/>
          <w:szCs w:val="32"/>
          <w:highlight w:val="none"/>
        </w:rPr>
        <w:t>占中心城区国土面积的8.</w:t>
      </w:r>
      <w:r>
        <w:rPr>
          <w:rFonts w:hint="eastAsia" w:ascii="Times New Roman" w:hAnsi="Times New Roman" w:eastAsia="仿宋_GB2312" w:cs="Times New Roman"/>
          <w:color w:val="auto"/>
          <w:sz w:val="32"/>
          <w:szCs w:val="32"/>
          <w:highlight w:val="none"/>
          <w:lang w:val="en-US" w:eastAsia="zh-CN"/>
        </w:rPr>
        <w:t>41</w:t>
      </w:r>
      <w:r>
        <w:rPr>
          <w:rFonts w:hint="eastAsia" w:ascii="Times New Roman" w:hAnsi="Times New Roman" w:eastAsia="仿宋_GB2312" w:cs="Times New Roman"/>
          <w:color w:val="auto"/>
          <w:sz w:val="32"/>
          <w:szCs w:val="32"/>
          <w:highlight w:val="none"/>
        </w:rPr>
        <w:t>%。</w:t>
      </w:r>
      <w:r>
        <w:rPr>
          <w:rFonts w:hint="eastAsia" w:ascii="楷体" w:hAnsi="楷体" w:eastAsia="楷体" w:cs="楷体"/>
          <w:color w:val="auto"/>
          <w:sz w:val="32"/>
          <w:szCs w:val="32"/>
          <w:highlight w:val="none"/>
        </w:rPr>
        <w:t>战略预留区：</w:t>
      </w:r>
      <w:r>
        <w:rPr>
          <w:rFonts w:hint="eastAsia" w:ascii="Times New Roman" w:hAnsi="Times New Roman" w:eastAsia="仿宋_GB2312" w:cs="Times New Roman"/>
          <w:color w:val="auto"/>
          <w:sz w:val="32"/>
          <w:szCs w:val="32"/>
          <w:highlight w:val="none"/>
        </w:rPr>
        <w:t>占中心城区国土面积的0.</w:t>
      </w:r>
      <w:r>
        <w:rPr>
          <w:rFonts w:hint="eastAsia" w:ascii="Times New Roman" w:hAnsi="Times New Roman" w:eastAsia="仿宋_GB2312" w:cs="Times New Roman"/>
          <w:color w:val="auto"/>
          <w:sz w:val="32"/>
          <w:szCs w:val="32"/>
          <w:highlight w:val="none"/>
          <w:lang w:val="en-US" w:eastAsia="zh-CN"/>
        </w:rPr>
        <w:t>12</w:t>
      </w:r>
      <w:r>
        <w:rPr>
          <w:rFonts w:hint="eastAsia" w:ascii="Times New Roman" w:hAnsi="Times New Roman" w:eastAsia="仿宋_GB2312" w:cs="Times New Roman"/>
          <w:color w:val="auto"/>
          <w:sz w:val="32"/>
          <w:szCs w:val="32"/>
          <w:highlight w:val="none"/>
        </w:rPr>
        <w:t>%。</w:t>
      </w:r>
      <w:r>
        <w:rPr>
          <w:rFonts w:hint="eastAsia" w:ascii="楷体" w:hAnsi="楷体" w:eastAsia="楷体" w:cs="楷体"/>
          <w:color w:val="auto"/>
          <w:sz w:val="32"/>
          <w:szCs w:val="32"/>
          <w:highlight w:val="none"/>
          <w:lang w:val="en-US" w:eastAsia="zh-CN"/>
        </w:rPr>
        <w:t>林业发展</w:t>
      </w:r>
      <w:r>
        <w:rPr>
          <w:rFonts w:hint="eastAsia" w:ascii="楷体" w:hAnsi="楷体" w:eastAsia="楷体" w:cs="楷体"/>
          <w:color w:val="auto"/>
          <w:sz w:val="32"/>
          <w:szCs w:val="32"/>
          <w:highlight w:val="none"/>
        </w:rPr>
        <w:t>区：</w:t>
      </w:r>
      <w:r>
        <w:rPr>
          <w:rFonts w:hint="eastAsia" w:ascii="Times New Roman" w:hAnsi="Times New Roman" w:eastAsia="仿宋_GB2312" w:cs="Times New Roman"/>
          <w:color w:val="auto"/>
          <w:sz w:val="32"/>
          <w:szCs w:val="32"/>
          <w:highlight w:val="none"/>
        </w:rPr>
        <w:t>占中心城区国土面积的11.8</w:t>
      </w:r>
      <w:r>
        <w:rPr>
          <w:rFonts w:hint="eastAsia"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rPr>
        <w:t>%。</w:t>
      </w:r>
      <w:r>
        <w:rPr>
          <w:rFonts w:hint="eastAsia" w:ascii="楷体" w:hAnsi="楷体" w:eastAsia="楷体" w:cs="楷体"/>
          <w:color w:val="auto"/>
          <w:sz w:val="32"/>
          <w:szCs w:val="32"/>
          <w:highlight w:val="none"/>
        </w:rPr>
        <w:t>农田保护区：</w:t>
      </w:r>
      <w:r>
        <w:rPr>
          <w:rFonts w:hint="eastAsia" w:ascii="Times New Roman" w:hAnsi="Times New Roman" w:eastAsia="仿宋_GB2312" w:cs="Times New Roman"/>
          <w:color w:val="auto"/>
          <w:sz w:val="32"/>
          <w:szCs w:val="32"/>
          <w:highlight w:val="none"/>
        </w:rPr>
        <w:t>占中心城区国土面积的</w:t>
      </w:r>
      <w:r>
        <w:rPr>
          <w:rFonts w:hint="eastAsia" w:ascii="Times New Roman" w:hAnsi="Times New Roman" w:eastAsia="仿宋_GB2312" w:cs="Times New Roman"/>
          <w:color w:val="auto"/>
          <w:sz w:val="32"/>
          <w:szCs w:val="32"/>
          <w:highlight w:val="none"/>
          <w:lang w:val="en-US" w:eastAsia="zh-CN"/>
        </w:rPr>
        <w:t>20.00</w:t>
      </w:r>
      <w:r>
        <w:rPr>
          <w:rFonts w:hint="eastAsia" w:ascii="Times New Roman" w:hAnsi="Times New Roman" w:eastAsia="仿宋_GB2312" w:cs="Times New Roman"/>
          <w:color w:val="auto"/>
          <w:sz w:val="32"/>
          <w:szCs w:val="32"/>
          <w:highlight w:val="none"/>
        </w:rPr>
        <w:t>%。</w:t>
      </w:r>
      <w:r>
        <w:rPr>
          <w:rFonts w:hint="eastAsia" w:ascii="楷体" w:hAnsi="楷体" w:eastAsia="楷体" w:cs="楷体"/>
          <w:color w:val="auto"/>
          <w:sz w:val="32"/>
          <w:szCs w:val="32"/>
          <w:highlight w:val="none"/>
        </w:rPr>
        <w:t>村庄建设区：</w:t>
      </w:r>
      <w:r>
        <w:rPr>
          <w:rFonts w:hint="eastAsia" w:ascii="Times New Roman" w:hAnsi="Times New Roman" w:eastAsia="仿宋_GB2312" w:cs="Times New Roman"/>
          <w:color w:val="auto"/>
          <w:sz w:val="32"/>
          <w:szCs w:val="32"/>
          <w:highlight w:val="none"/>
        </w:rPr>
        <w:t>占中心城区国土面积的11.0</w:t>
      </w:r>
      <w:r>
        <w:rPr>
          <w:rFonts w:hint="eastAsia"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rPr>
        <w:t>%。</w:t>
      </w:r>
      <w:r>
        <w:rPr>
          <w:rFonts w:hint="eastAsia" w:ascii="楷体" w:hAnsi="楷体" w:eastAsia="楷体" w:cs="楷体"/>
          <w:color w:val="auto"/>
          <w:sz w:val="32"/>
          <w:szCs w:val="32"/>
          <w:highlight w:val="none"/>
        </w:rPr>
        <w:t>一般农业区：</w:t>
      </w:r>
      <w:r>
        <w:rPr>
          <w:rFonts w:hint="eastAsia" w:ascii="Times New Roman" w:hAnsi="Times New Roman" w:eastAsia="仿宋_GB2312" w:cs="Times New Roman"/>
          <w:color w:val="auto"/>
          <w:sz w:val="32"/>
          <w:szCs w:val="32"/>
          <w:highlight w:val="none"/>
        </w:rPr>
        <w:t>占中心城区国土面积的6.</w:t>
      </w:r>
      <w:r>
        <w:rPr>
          <w:rFonts w:hint="eastAsia" w:ascii="Times New Roman" w:hAnsi="Times New Roman" w:eastAsia="仿宋_GB2312" w:cs="Times New Roman"/>
          <w:color w:val="auto"/>
          <w:sz w:val="32"/>
          <w:szCs w:val="32"/>
          <w:highlight w:val="none"/>
          <w:lang w:val="en-US" w:eastAsia="zh-CN"/>
        </w:rPr>
        <w:t>63</w:t>
      </w:r>
      <w:r>
        <w:rPr>
          <w:rFonts w:hint="eastAsia" w:ascii="Times New Roman" w:hAnsi="Times New Roman" w:eastAsia="仿宋_GB2312" w:cs="Times New Roman"/>
          <w:color w:val="auto"/>
          <w:sz w:val="32"/>
          <w:szCs w:val="32"/>
          <w:highlight w:val="none"/>
        </w:rPr>
        <w:t>%。</w:t>
      </w:r>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三、中心城区开发强度分区管控</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结合用地布局，将规划</w:t>
      </w:r>
      <w:r>
        <w:rPr>
          <w:rFonts w:hint="eastAsia" w:ascii="Times New Roman" w:hAnsi="Times New Roman" w:eastAsia="仿宋_GB2312" w:cs="Times New Roman"/>
          <w:color w:val="auto"/>
          <w:sz w:val="32"/>
          <w:szCs w:val="32"/>
          <w:highlight w:val="none"/>
          <w:lang w:val="en-US" w:eastAsia="zh-CN"/>
        </w:rPr>
        <w:t>城镇</w:t>
      </w:r>
      <w:r>
        <w:rPr>
          <w:rFonts w:hint="eastAsia" w:ascii="Times New Roman" w:hAnsi="Times New Roman" w:eastAsia="仿宋_GB2312" w:cs="Times New Roman"/>
          <w:color w:val="auto"/>
          <w:sz w:val="32"/>
          <w:szCs w:val="32"/>
          <w:highlight w:val="none"/>
        </w:rPr>
        <w:t>建设用地按照高强度到低强度划分为</w:t>
      </w:r>
      <w:r>
        <w:rPr>
          <w:rFonts w:hint="eastAsia" w:ascii="Times New Roman" w:hAnsi="Times New Roman" w:eastAsia="仿宋_GB2312" w:cs="Times New Roman"/>
          <w:color w:val="auto"/>
          <w:sz w:val="32"/>
          <w:szCs w:val="32"/>
          <w:highlight w:val="none"/>
          <w:lang w:val="en-US" w:eastAsia="zh-CN"/>
        </w:rPr>
        <w:t>Ⅳ</w:t>
      </w:r>
      <w:r>
        <w:rPr>
          <w:rFonts w:hint="eastAsia" w:ascii="Times New Roman" w:hAnsi="Times New Roman" w:eastAsia="仿宋_GB2312" w:cs="Times New Roman"/>
          <w:color w:val="auto"/>
          <w:sz w:val="32"/>
          <w:szCs w:val="32"/>
          <w:highlight w:val="none"/>
        </w:rPr>
        <w:t>级强度区</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Ⅲ</w:t>
      </w:r>
      <w:r>
        <w:rPr>
          <w:rFonts w:hint="eastAsia" w:ascii="Times New Roman" w:hAnsi="Times New Roman" w:eastAsia="仿宋_GB2312" w:cs="Times New Roman"/>
          <w:color w:val="auto"/>
          <w:sz w:val="32"/>
          <w:szCs w:val="32"/>
          <w:highlight w:val="none"/>
        </w:rPr>
        <w:t>级强度区</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Ⅱ</w:t>
      </w:r>
      <w:r>
        <w:rPr>
          <w:rFonts w:hint="eastAsia" w:ascii="Times New Roman" w:hAnsi="Times New Roman" w:eastAsia="仿宋_GB2312" w:cs="Times New Roman"/>
          <w:color w:val="auto"/>
          <w:sz w:val="32"/>
          <w:szCs w:val="32"/>
          <w:highlight w:val="none"/>
        </w:rPr>
        <w:t>级强度区</w:t>
      </w:r>
      <w:r>
        <w:rPr>
          <w:rFonts w:hint="eastAsia" w:ascii="Times New Roman" w:hAnsi="Times New Roman" w:eastAsia="仿宋_GB2312" w:cs="Times New Roman"/>
          <w:color w:val="auto"/>
          <w:sz w:val="32"/>
          <w:szCs w:val="32"/>
          <w:highlight w:val="none"/>
          <w:lang w:val="en-US" w:eastAsia="zh-CN"/>
        </w:rPr>
        <w:t>和Ⅰ</w:t>
      </w:r>
      <w:r>
        <w:rPr>
          <w:rFonts w:hint="eastAsia" w:ascii="Times New Roman" w:hAnsi="Times New Roman" w:eastAsia="仿宋_GB2312" w:cs="Times New Roman"/>
          <w:color w:val="auto"/>
          <w:sz w:val="32"/>
          <w:szCs w:val="32"/>
          <w:highlight w:val="none"/>
        </w:rPr>
        <w:t>级强度区</w:t>
      </w:r>
      <w:r>
        <w:rPr>
          <w:rFonts w:hint="eastAsia" w:ascii="Times New Roman" w:hAnsi="Times New Roman" w:eastAsia="仿宋_GB2312" w:cs="Times New Roman"/>
          <w:color w:val="auto"/>
          <w:sz w:val="32"/>
          <w:szCs w:val="32"/>
          <w:highlight w:val="none"/>
          <w:lang w:val="en-US" w:eastAsia="zh-CN"/>
        </w:rPr>
        <w:t>四级分区进行引导</w:t>
      </w:r>
      <w:r>
        <w:rPr>
          <w:rFonts w:hint="eastAsia" w:ascii="Times New Roman" w:hAnsi="Times New Roman" w:eastAsia="仿宋_GB2312" w:cs="Times New Roman"/>
          <w:color w:val="auto"/>
          <w:sz w:val="32"/>
          <w:szCs w:val="32"/>
          <w:highlight w:val="none"/>
        </w:rPr>
        <w:t>。建筑高度按照不高于80m、</w:t>
      </w:r>
      <w:r>
        <w:rPr>
          <w:rFonts w:hint="eastAsia" w:ascii="Times New Roman" w:hAnsi="Times New Roman" w:eastAsia="仿宋_GB2312" w:cs="Times New Roman"/>
          <w:color w:val="auto"/>
          <w:sz w:val="32"/>
          <w:szCs w:val="32"/>
          <w:highlight w:val="none"/>
          <w:lang w:val="en-US" w:eastAsia="zh-CN"/>
        </w:rPr>
        <w:t>60</w:t>
      </w:r>
      <w:r>
        <w:rPr>
          <w:rFonts w:hint="eastAsia" w:ascii="Times New Roman" w:hAnsi="Times New Roman" w:eastAsia="仿宋_GB2312" w:cs="Times New Roman"/>
          <w:color w:val="auto"/>
          <w:sz w:val="32"/>
          <w:szCs w:val="32"/>
          <w:highlight w:val="none"/>
        </w:rPr>
        <w:t>m、</w:t>
      </w:r>
      <w:r>
        <w:rPr>
          <w:rFonts w:hint="eastAsia" w:ascii="Times New Roman" w:hAnsi="Times New Roman" w:eastAsia="仿宋_GB2312" w:cs="Times New Roman"/>
          <w:color w:val="auto"/>
          <w:sz w:val="32"/>
          <w:szCs w:val="32"/>
          <w:highlight w:val="none"/>
          <w:lang w:val="en-US" w:eastAsia="zh-CN"/>
        </w:rPr>
        <w:t>40</w:t>
      </w:r>
      <w:r>
        <w:rPr>
          <w:rFonts w:hint="eastAsia" w:ascii="Times New Roman" w:hAnsi="Times New Roman" w:eastAsia="仿宋_GB2312" w:cs="Times New Roman"/>
          <w:color w:val="auto"/>
          <w:sz w:val="32"/>
          <w:szCs w:val="32"/>
          <w:highlight w:val="none"/>
        </w:rPr>
        <w:t>m、2</w:t>
      </w:r>
      <w:r>
        <w:rPr>
          <w:rFonts w:hint="eastAsia" w:ascii="Times New Roman" w:hAnsi="Times New Roman" w:eastAsia="仿宋_GB2312" w:cs="Times New Roman"/>
          <w:color w:val="auto"/>
          <w:sz w:val="32"/>
          <w:szCs w:val="32"/>
          <w:highlight w:val="none"/>
          <w:lang w:val="en-US" w:eastAsia="zh-CN"/>
        </w:rPr>
        <w:t>5</w:t>
      </w:r>
      <w:r>
        <w:rPr>
          <w:rFonts w:hint="eastAsia" w:ascii="Times New Roman" w:hAnsi="Times New Roman" w:eastAsia="仿宋_GB2312" w:cs="Times New Roman"/>
          <w:color w:val="auto"/>
          <w:sz w:val="32"/>
          <w:szCs w:val="32"/>
          <w:highlight w:val="none"/>
        </w:rPr>
        <w:t>m</w:t>
      </w:r>
      <w:r>
        <w:rPr>
          <w:rFonts w:hint="eastAsia" w:ascii="Times New Roman" w:hAnsi="Times New Roman" w:eastAsia="仿宋_GB2312" w:cs="Times New Roman"/>
          <w:color w:val="auto"/>
          <w:sz w:val="32"/>
          <w:szCs w:val="32"/>
          <w:highlight w:val="none"/>
          <w:lang w:val="en-US" w:eastAsia="zh-CN"/>
        </w:rPr>
        <w:t>和</w:t>
      </w:r>
      <w:r>
        <w:rPr>
          <w:rFonts w:hint="eastAsia"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0</w:t>
      </w:r>
      <w:r>
        <w:rPr>
          <w:rFonts w:hint="eastAsia" w:ascii="Times New Roman" w:hAnsi="Times New Roman" w:eastAsia="仿宋_GB2312" w:cs="Times New Roman"/>
          <w:color w:val="auto"/>
          <w:sz w:val="32"/>
          <w:szCs w:val="32"/>
          <w:highlight w:val="none"/>
        </w:rPr>
        <w:t>m五类分区进行引导；除现状建筑外，建筑高度一般控制在80米以下；确需超过80米建筑的需作专题论证研究，并符合防火、抗震等相关规定。建筑密度按照小于50%、43%、30%、22%</w:t>
      </w:r>
      <w:r>
        <w:rPr>
          <w:rFonts w:hint="eastAsia" w:ascii="Times New Roman" w:hAnsi="Times New Roman" w:eastAsia="仿宋_GB2312" w:cs="Times New Roman"/>
          <w:color w:val="auto"/>
          <w:sz w:val="32"/>
          <w:szCs w:val="32"/>
          <w:highlight w:val="none"/>
          <w:lang w:val="en-US" w:eastAsia="zh-CN"/>
        </w:rPr>
        <w:t>和</w:t>
      </w:r>
      <w:r>
        <w:rPr>
          <w:rFonts w:hint="eastAsia"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0</w:t>
      </w:r>
      <w:r>
        <w:rPr>
          <w:rFonts w:hint="eastAsia" w:ascii="Times New Roman" w:hAnsi="Times New Roman" w:eastAsia="仿宋_GB2312" w:cs="Times New Roman"/>
          <w:color w:val="auto"/>
          <w:sz w:val="32"/>
          <w:szCs w:val="32"/>
          <w:highlight w:val="none"/>
        </w:rPr>
        <w:t>%五类分区进行引导。对于城市的重要地段或重要节点、城市更新区域和城市地标周边等规模较大的地区，应结合城市设计等方法，采取详细规划、城市设计或专项规划等工作深化研究该区域的开发强度、建筑高度、建筑密度等内容。</w:t>
      </w:r>
    </w:p>
    <w:p>
      <w:pPr>
        <w:keepNext/>
        <w:keepLines/>
        <w:numPr>
          <w:ilvl w:val="0"/>
          <w:numId w:val="9"/>
        </w:numPr>
        <w:spacing w:before="78" w:beforeLines="25" w:after="78" w:afterLines="25" w:line="700" w:lineRule="exact"/>
        <w:ind w:left="0" w:firstLine="0"/>
        <w:jc w:val="center"/>
        <w:outlineLvl w:val="1"/>
        <w:rPr>
          <w:rFonts w:ascii="黑体" w:hAnsi="黑体" w:eastAsia="黑体" w:cs="黑体"/>
          <w:b/>
          <w:bCs/>
          <w:color w:val="auto"/>
          <w:sz w:val="32"/>
          <w:szCs w:val="32"/>
          <w:highlight w:val="none"/>
        </w:rPr>
      </w:pPr>
      <w:bookmarkStart w:id="63" w:name="_Toc4725"/>
      <w:r>
        <w:rPr>
          <w:rFonts w:hint="eastAsia" w:ascii="黑体" w:hAnsi="黑体" w:eastAsia="黑体" w:cs="黑体"/>
          <w:b/>
          <w:bCs/>
          <w:color w:val="auto"/>
          <w:sz w:val="32"/>
          <w:szCs w:val="32"/>
          <w:highlight w:val="none"/>
        </w:rPr>
        <w:t>中心城区综合交通规划</w:t>
      </w:r>
      <w:bookmarkEnd w:id="63"/>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一、中心城区对外交通规划</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建设“区域畅达、绿色低碳、运行高效、安全智慧”的大姚现代化一体化综合交通体系。完善区域综合交通系统建设，理顺客货运交通组织，完善城市综合交通枢纽建设；实施公交优先、慢行无缝对接的绿色低碳出行发展战略。</w:t>
      </w:r>
    </w:p>
    <w:p>
      <w:pPr>
        <w:keepNext/>
        <w:keepLines/>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高速公路。</w:t>
      </w:r>
      <w:r>
        <w:rPr>
          <w:rFonts w:hint="eastAsia" w:ascii="Times New Roman" w:hAnsi="Times New Roman" w:eastAsia="仿宋_GB2312" w:cs="Times New Roman"/>
          <w:color w:val="auto"/>
          <w:sz w:val="32"/>
          <w:szCs w:val="32"/>
          <w:highlight w:val="none"/>
        </w:rPr>
        <w:t>形成“一横一纵”高速公路格局。</w:t>
      </w:r>
      <w:r>
        <w:rPr>
          <w:rFonts w:hint="eastAsia" w:ascii="楷体" w:hAnsi="楷体" w:eastAsia="楷体" w:cs="楷体"/>
          <w:color w:val="auto"/>
          <w:sz w:val="32"/>
          <w:szCs w:val="32"/>
          <w:highlight w:val="none"/>
        </w:rPr>
        <w:t>一横：</w:t>
      </w:r>
      <w:r>
        <w:rPr>
          <w:rFonts w:hint="eastAsia" w:ascii="Times New Roman" w:hAnsi="Times New Roman" w:eastAsia="仿宋_GB2312" w:cs="Times New Roman"/>
          <w:color w:val="auto"/>
          <w:sz w:val="32"/>
          <w:szCs w:val="32"/>
          <w:highlight w:val="none"/>
        </w:rPr>
        <w:t>即元大高速，是城市北部过境和出入境的重要通道，在北部设立互通式立交，结合北部物流仓储片区加强城市北入口的建设；</w:t>
      </w:r>
      <w:r>
        <w:rPr>
          <w:rFonts w:hint="eastAsia" w:ascii="楷体" w:hAnsi="楷体" w:eastAsia="楷体" w:cs="楷体"/>
          <w:color w:val="auto"/>
          <w:sz w:val="32"/>
          <w:szCs w:val="32"/>
          <w:highlight w:val="none"/>
        </w:rPr>
        <w:t>一纵：</w:t>
      </w:r>
      <w:r>
        <w:rPr>
          <w:rFonts w:hint="eastAsia" w:ascii="Times New Roman" w:hAnsi="Times New Roman" w:eastAsia="仿宋_GB2312" w:cs="Times New Roman"/>
          <w:color w:val="auto"/>
          <w:sz w:val="32"/>
          <w:szCs w:val="32"/>
          <w:highlight w:val="none"/>
        </w:rPr>
        <w:t>即永金高速，是城市南部过境和出入境的重要通道；在县城南侧设立互通式立交及连接线，快速接驳过境交通。</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过境公路。</w:t>
      </w:r>
      <w:r>
        <w:rPr>
          <w:rFonts w:hint="eastAsia" w:ascii="Times New Roman" w:hAnsi="Times New Roman" w:eastAsia="仿宋_GB2312" w:cs="Times New Roman"/>
          <w:color w:val="auto"/>
          <w:sz w:val="32"/>
          <w:szCs w:val="32"/>
          <w:highlight w:val="none"/>
        </w:rPr>
        <w:t>原南永二级公路、元大二级公路城区段变更为城市干道，城区以外部分仍按二级公路标准控制，作为城区和其余乡镇联系的通道。</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客运综合枢纽。</w:t>
      </w:r>
      <w:r>
        <w:rPr>
          <w:rFonts w:hint="eastAsia" w:ascii="Times New Roman" w:hAnsi="Times New Roman" w:eastAsia="仿宋_GB2312" w:cs="Times New Roman"/>
          <w:color w:val="auto"/>
          <w:sz w:val="32"/>
          <w:szCs w:val="32"/>
          <w:highlight w:val="none"/>
        </w:rPr>
        <w:t>原客运站位于南永公路以东，提升改造后作为县城一级中心枢纽客运站，保留原有北部客运站和东南部短途客运站。</w:t>
      </w:r>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二、中心城区道路交通规划</w:t>
      </w:r>
    </w:p>
    <w:p>
      <w:pPr>
        <w:pStyle w:val="67"/>
        <w:spacing w:line="560" w:lineRule="exact"/>
        <w:ind w:firstLine="64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中心城区骨干道路网形成“环状+方格状”模式，串联城市各个片区。构建快速路、主次干路、支路和巷道的分级路网系统，打通“丁字路、断头路”，完善景观路、步行街等体系，提高次干路和支路的路网密度，畅通新老城区快速交通道路联系。打通一环线，推进县城东南片区和西北片区路网畅通工程。</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快速路：</w:t>
      </w:r>
      <w:r>
        <w:rPr>
          <w:rFonts w:hint="eastAsia" w:ascii="Times New Roman" w:hAnsi="Times New Roman" w:eastAsia="仿宋_GB2312" w:cs="Times New Roman"/>
          <w:color w:val="auto"/>
          <w:sz w:val="32"/>
          <w:szCs w:val="32"/>
          <w:highlight w:val="none"/>
        </w:rPr>
        <w:t>保留南部高速互通至中心城区段快速路，新建北部永丰湖水库东侧元大高速互通至中心城区的快速路；设置南、北2个互通口。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主干路：</w:t>
      </w:r>
      <w:r>
        <w:rPr>
          <w:rFonts w:hint="eastAsia" w:ascii="Times New Roman" w:hAnsi="Times New Roman" w:eastAsia="仿宋_GB2312" w:cs="Times New Roman"/>
          <w:color w:val="auto"/>
          <w:sz w:val="32"/>
          <w:szCs w:val="32"/>
          <w:highlight w:val="none"/>
        </w:rPr>
        <w:t>主干路网形成“一环四纵”的主干路网结构，包括一环线（金龙路、环城西路、北部一环线）、咪依噜大街、金碧路、百草岭大街、金平路等城市主干路。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highlight w:val="none"/>
        </w:rPr>
      </w:pPr>
      <w:bookmarkStart w:id="64" w:name="_Hlk136893914"/>
      <w:r>
        <w:rPr>
          <w:rFonts w:hint="eastAsia" w:ascii="楷体" w:hAnsi="楷体" w:eastAsia="楷体" w:cs="楷体"/>
          <w:color w:val="auto"/>
          <w:sz w:val="32"/>
          <w:szCs w:val="32"/>
          <w:highlight w:val="none"/>
        </w:rPr>
        <w:t>次干路：</w:t>
      </w:r>
      <w:r>
        <w:rPr>
          <w:rFonts w:hint="eastAsia" w:ascii="Times New Roman" w:hAnsi="Times New Roman" w:eastAsia="仿宋_GB2312" w:cs="Times New Roman"/>
          <w:color w:val="auto"/>
          <w:sz w:val="32"/>
          <w:szCs w:val="32"/>
          <w:highlight w:val="none"/>
        </w:rPr>
        <w:t>包括环城北路、环城南路、南塔路、白塔路、西河北路、城北路、金民路、莲花路、蜻蛉路、明德路、西河南路、校场路及其他规划次干路路网。</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仿宋_GB2312" w:cs="Times New Roman"/>
          <w:color w:val="auto"/>
          <w:kern w:val="2"/>
          <w:sz w:val="32"/>
          <w:szCs w:val="32"/>
          <w:highlight w:val="none"/>
          <w:lang w:eastAsia="zh-CN"/>
        </w:rPr>
      </w:pPr>
      <w:r>
        <w:rPr>
          <w:rFonts w:hint="eastAsia" w:ascii="楷体" w:hAnsi="楷体" w:eastAsia="楷体" w:cs="楷体"/>
          <w:color w:val="auto"/>
          <w:kern w:val="2"/>
          <w:sz w:val="32"/>
          <w:szCs w:val="32"/>
          <w:highlight w:val="none"/>
          <w:lang w:eastAsia="zh-CN"/>
        </w:rPr>
        <w:t>支路：</w:t>
      </w:r>
      <w:r>
        <w:rPr>
          <w:rFonts w:hint="eastAsia" w:ascii="Times New Roman" w:hAnsi="Times New Roman" w:eastAsia="仿宋_GB2312" w:cs="Times New Roman"/>
          <w:color w:val="auto"/>
          <w:kern w:val="2"/>
          <w:sz w:val="32"/>
          <w:szCs w:val="32"/>
          <w:highlight w:val="none"/>
          <w:lang w:eastAsia="zh-CN"/>
        </w:rPr>
        <w:t>包括西苑路、文苑路、西街、东街、环城东路、北街、南后街、金蛉路及其他规划</w:t>
      </w:r>
      <w:r>
        <w:rPr>
          <w:rFonts w:hint="eastAsia" w:ascii="Times New Roman" w:hAnsi="Times New Roman" w:eastAsia="仿宋_GB2312" w:cs="Times New Roman"/>
          <w:color w:val="auto"/>
          <w:sz w:val="32"/>
          <w:szCs w:val="32"/>
          <w:highlight w:val="none"/>
        </w:rPr>
        <w:t>支路路网</w:t>
      </w:r>
      <w:r>
        <w:rPr>
          <w:rFonts w:hint="eastAsia" w:ascii="Times New Roman" w:hAnsi="Times New Roman" w:eastAsia="仿宋_GB2312" w:cs="Times New Roman"/>
          <w:color w:val="auto"/>
          <w:kern w:val="2"/>
          <w:sz w:val="32"/>
          <w:szCs w:val="32"/>
          <w:highlight w:val="none"/>
          <w:lang w:eastAsia="zh-CN"/>
        </w:rPr>
        <w:t>。</w:t>
      </w:r>
      <w:bookmarkEnd w:id="64"/>
    </w:p>
    <w:p>
      <w:pPr>
        <w:keepNext/>
        <w:keepLines/>
        <w:numPr>
          <w:ilvl w:val="0"/>
          <w:numId w:val="9"/>
        </w:numPr>
        <w:spacing w:before="78" w:beforeLines="25" w:after="78" w:afterLines="25" w:line="700" w:lineRule="exact"/>
        <w:ind w:left="0" w:firstLine="0"/>
        <w:jc w:val="center"/>
        <w:outlineLvl w:val="1"/>
        <w:rPr>
          <w:rFonts w:ascii="黑体" w:hAnsi="黑体" w:eastAsia="黑体" w:cs="黑体"/>
          <w:b/>
          <w:bCs/>
          <w:color w:val="auto"/>
          <w:sz w:val="32"/>
          <w:szCs w:val="32"/>
          <w:highlight w:val="none"/>
        </w:rPr>
      </w:pPr>
      <w:bookmarkStart w:id="65" w:name="_Toc792"/>
      <w:r>
        <w:rPr>
          <w:rFonts w:hint="eastAsia" w:ascii="黑体" w:hAnsi="黑体" w:eastAsia="黑体" w:cs="黑体"/>
          <w:b/>
          <w:bCs/>
          <w:color w:val="auto"/>
          <w:sz w:val="32"/>
          <w:szCs w:val="32"/>
          <w:highlight w:val="none"/>
        </w:rPr>
        <w:t>中心城区公共服务设施规划</w:t>
      </w:r>
      <w:bookmarkEnd w:id="65"/>
      <w:r>
        <w:rPr>
          <w:rFonts w:hint="eastAsia" w:ascii="黑体" w:hAnsi="黑体" w:eastAsia="黑体" w:cs="黑体"/>
          <w:b/>
          <w:bCs/>
          <w:color w:val="auto"/>
          <w:sz w:val="32"/>
          <w:szCs w:val="32"/>
          <w:highlight w:val="none"/>
        </w:rPr>
        <w:t xml:space="preserve"> </w:t>
      </w:r>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一、公共服务体系及总体要求</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公共服务设施配建按照“次区域级—片区级—邻里级—街区级”四级配套，配建标准按有关规定执行。公共服务设施配置应以人为本、与服务人口规模、服务范围相适应，以实现社会基本公共服务均等化为目标，统筹布局，集约节约用地。本规划规定的服务设施配建内容为公共服务设施配建最低要求，具体公共服务设施配建规模及标准应在详细规划与相关专项规划或建设方案中进一步落实细化；保障公共服务设施建设空间，保障总体规划确定的教育、医疗卫生、公共文化、体育、社会福利等公益性公共服务设施用地。</w:t>
      </w:r>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二、中心城区公共服务设施布局</w:t>
      </w:r>
    </w:p>
    <w:p>
      <w:pPr>
        <w:spacing w:line="560" w:lineRule="exact"/>
        <w:ind w:firstLine="640" w:firstLineChars="200"/>
        <w:rPr>
          <w:rFonts w:ascii="Times New Roman" w:hAnsi="Times New Roman" w:eastAsia="仿宋_GB2312" w:cs="Times New Roman"/>
          <w:color w:val="auto"/>
          <w:sz w:val="32"/>
          <w:szCs w:val="32"/>
          <w:highlight w:val="none"/>
          <w:u w:val="single"/>
        </w:rPr>
      </w:pPr>
      <w:r>
        <w:rPr>
          <w:rFonts w:hint="eastAsia" w:ascii="Times New Roman" w:hAnsi="Times New Roman" w:eastAsia="仿宋_GB2312" w:cs="Times New Roman"/>
          <w:color w:val="auto"/>
          <w:sz w:val="32"/>
          <w:szCs w:val="32"/>
          <w:highlight w:val="none"/>
        </w:rPr>
        <w:t>全面优化公共服务设施体系建设及空间布局，促进公共服务均等化发展，适度超前、培育城市公共服务中心，加强空间预留与管控。结合服务人口规模情况，优化结合5-10分钟生活圈建设，配置日常基本保障性公共服务设施和公共活动场所，突出功能复合和职住平衡，合理集中配置社区服务功能，为市民提供就近就业空间和机会。到2025年，公共服务水平进入全州城市前列；到2035年，公共服务水平更加均等化、高品质，社区卫生、养老、教育、文化、体育等公共服务设施15分钟步行覆盖率实现基本覆盖。</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教育设施。</w:t>
      </w:r>
      <w:r>
        <w:rPr>
          <w:rFonts w:hint="eastAsia" w:ascii="Times New Roman" w:hAnsi="Times New Roman" w:eastAsia="仿宋_GB2312" w:cs="Times New Roman"/>
          <w:color w:val="auto"/>
          <w:sz w:val="32"/>
          <w:szCs w:val="32"/>
          <w:highlight w:val="none"/>
        </w:rPr>
        <w:t>把握构建现代教育体系、打造现代教育强县两条主线，实现教育设施服务水平显著提升，基本实现教育现代化。</w:t>
      </w:r>
      <w:r>
        <w:rPr>
          <w:rFonts w:hint="eastAsia" w:ascii="Times New Roman" w:hAnsi="Times New Roman" w:eastAsia="仿宋_GB2312" w:cs="Times New Roman"/>
          <w:color w:val="auto"/>
          <w:sz w:val="32"/>
          <w:szCs w:val="32"/>
          <w:highlight w:val="none"/>
          <w:u w:val="none"/>
        </w:rPr>
        <w:t>到2035年，中心城区至少配置2所高中、3所中学，按照社区适龄人口规模配置幼儿园、小学。</w:t>
      </w:r>
      <w:r>
        <w:rPr>
          <w:rFonts w:hint="eastAsia" w:ascii="Times New Roman" w:hAnsi="Times New Roman" w:eastAsia="仿宋_GB2312" w:cs="Times New Roman"/>
          <w:color w:val="auto"/>
          <w:sz w:val="32"/>
          <w:szCs w:val="32"/>
          <w:highlight w:val="none"/>
        </w:rPr>
        <w:t>改扩建县金碧小学、金碧镇金蛉小学、东城幼儿园、西城幼儿园。</w:t>
      </w:r>
    </w:p>
    <w:p>
      <w:pPr>
        <w:spacing w:line="560" w:lineRule="exact"/>
        <w:ind w:firstLine="640" w:firstLineChars="200"/>
        <w:rPr>
          <w:rFonts w:ascii="Times New Roman" w:hAnsi="Times New Roman" w:eastAsia="仿宋_GB2312" w:cs="Times New Roman"/>
          <w:b/>
          <w:bCs/>
          <w:i/>
          <w:iCs/>
          <w:color w:val="auto"/>
          <w:sz w:val="32"/>
          <w:szCs w:val="32"/>
          <w:highlight w:val="none"/>
        </w:rPr>
      </w:pPr>
      <w:r>
        <w:rPr>
          <w:rFonts w:hint="eastAsia" w:ascii="楷体" w:hAnsi="楷体" w:eastAsia="楷体" w:cs="楷体"/>
          <w:color w:val="auto"/>
          <w:sz w:val="32"/>
          <w:szCs w:val="32"/>
          <w:highlight w:val="none"/>
        </w:rPr>
        <w:t>医疗卫生设施。</w:t>
      </w:r>
      <w:r>
        <w:rPr>
          <w:rFonts w:hint="eastAsia" w:ascii="Times New Roman" w:hAnsi="Times New Roman" w:eastAsia="仿宋_GB2312" w:cs="Times New Roman"/>
          <w:color w:val="auto"/>
          <w:sz w:val="32"/>
          <w:szCs w:val="32"/>
          <w:highlight w:val="none"/>
        </w:rPr>
        <w:t>以提升区域医疗卫生水平为目标，优化配置各种医疗卫生资源，促进资源服务均等化发展、完善医疗卫生服务体系建设，探索医养结合新模式，大力发展健康服务业。</w:t>
      </w:r>
      <w:r>
        <w:rPr>
          <w:rFonts w:hint="eastAsia" w:ascii="Times New Roman" w:hAnsi="Times New Roman" w:eastAsia="仿宋_GB2312" w:cs="Times New Roman"/>
          <w:color w:val="auto"/>
          <w:sz w:val="32"/>
          <w:szCs w:val="32"/>
          <w:highlight w:val="none"/>
          <w:u w:val="none"/>
        </w:rPr>
        <w:t>构建紧密型县域医疗卫生服务共同体，县级配建综合医院、专科医院、急救中心、疾控中心，片区级配建社区卫生服务中心或社区医院，邻里级配建社区卫生服务站。</w:t>
      </w:r>
      <w:r>
        <w:rPr>
          <w:rFonts w:hint="eastAsia" w:ascii="Times New Roman" w:hAnsi="Times New Roman" w:eastAsia="仿宋_GB2312" w:cs="Times New Roman"/>
          <w:color w:val="auto"/>
          <w:sz w:val="32"/>
          <w:szCs w:val="32"/>
          <w:highlight w:val="none"/>
        </w:rPr>
        <w:t>根据服务人口规模及服务需求确定医院类型及数量。</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体育设施。</w:t>
      </w:r>
      <w:r>
        <w:rPr>
          <w:rFonts w:hint="eastAsia" w:ascii="Times New Roman" w:hAnsi="Times New Roman" w:eastAsia="仿宋_GB2312" w:cs="Times New Roman"/>
          <w:color w:val="auto"/>
          <w:sz w:val="32"/>
          <w:szCs w:val="32"/>
          <w:highlight w:val="none"/>
        </w:rPr>
        <w:t>以满足人民群众体育健身需求为目标，体育场馆设施适当均衡、加强共享、有序建设。</w:t>
      </w:r>
      <w:r>
        <w:rPr>
          <w:rFonts w:hint="eastAsia" w:ascii="Times New Roman" w:hAnsi="Times New Roman" w:eastAsia="仿宋_GB2312" w:cs="Times New Roman"/>
          <w:color w:val="auto"/>
          <w:sz w:val="32"/>
          <w:szCs w:val="32"/>
          <w:highlight w:val="none"/>
          <w:u w:val="none"/>
        </w:rPr>
        <w:t>县级至少配建1处体育馆、县级全民健身中心、体育公园以及不少于2个社会标准足球场，</w:t>
      </w:r>
      <w:r>
        <w:rPr>
          <w:rFonts w:hint="eastAsia" w:ascii="Times New Roman" w:hAnsi="Times New Roman" w:eastAsia="仿宋_GB2312" w:cs="Times New Roman"/>
          <w:color w:val="auto"/>
          <w:sz w:val="32"/>
          <w:szCs w:val="32"/>
          <w:highlight w:val="none"/>
        </w:rPr>
        <w:t>片区级至少配建1处小型全民健身中心、多功能运动场、11人制标准足球场，邻里级至少配建1处体育活动中心（场所）、1处不低于5人制足球场，街区级至少配建1处居民健身场地。</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文化设施。</w:t>
      </w:r>
      <w:r>
        <w:rPr>
          <w:rFonts w:hint="eastAsia" w:ascii="Times New Roman" w:hAnsi="Times New Roman" w:eastAsia="仿宋_GB2312" w:cs="Times New Roman"/>
          <w:color w:val="auto"/>
          <w:sz w:val="32"/>
          <w:szCs w:val="32"/>
          <w:highlight w:val="none"/>
        </w:rPr>
        <w:t>完善公共文化服务体系，丰富群众性文化活动，促进公共文化设施均等化发展。</w:t>
      </w:r>
      <w:r>
        <w:rPr>
          <w:rFonts w:hint="eastAsia" w:ascii="Times New Roman" w:hAnsi="Times New Roman" w:eastAsia="仿宋_GB2312" w:cs="Times New Roman"/>
          <w:color w:val="auto"/>
          <w:sz w:val="32"/>
          <w:szCs w:val="32"/>
          <w:highlight w:val="none"/>
          <w:u w:val="none"/>
        </w:rPr>
        <w:t>县级至少具有1处图书馆、1处文化馆及1处青少年活动中心，</w:t>
      </w:r>
      <w:r>
        <w:rPr>
          <w:rFonts w:hint="eastAsia" w:ascii="Times New Roman" w:hAnsi="Times New Roman" w:eastAsia="仿宋_GB2312" w:cs="Times New Roman"/>
          <w:color w:val="auto"/>
          <w:sz w:val="32"/>
          <w:szCs w:val="32"/>
          <w:highlight w:val="none"/>
        </w:rPr>
        <w:t>片区级应至少配建1处综合文化活动中心，邻里级至少配建1处社区文化活动站，街区级至少配建1处阅览室及活动室。</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社会福利设施。</w:t>
      </w:r>
      <w:r>
        <w:rPr>
          <w:rFonts w:hint="eastAsia" w:ascii="Times New Roman" w:hAnsi="Times New Roman" w:eastAsia="仿宋_GB2312" w:cs="Times New Roman"/>
          <w:color w:val="auto"/>
          <w:sz w:val="32"/>
          <w:szCs w:val="32"/>
          <w:highlight w:val="none"/>
        </w:rPr>
        <w:t>完善各级社会福利设施空间布局、统筹协调适度超前，大力发展养老服务业和养老产业，优化儿童活动空间布局。</w:t>
      </w:r>
      <w:r>
        <w:rPr>
          <w:rFonts w:hint="eastAsia" w:ascii="Times New Roman" w:hAnsi="Times New Roman" w:eastAsia="仿宋_GB2312" w:cs="Times New Roman"/>
          <w:color w:val="auto"/>
          <w:sz w:val="32"/>
          <w:szCs w:val="32"/>
          <w:highlight w:val="none"/>
          <w:u w:val="none"/>
        </w:rPr>
        <w:t>县级配建养老院、老年活动中心、儿童福利院、救助站、残疾人康复机构等，</w:t>
      </w:r>
      <w:r>
        <w:rPr>
          <w:rFonts w:hint="eastAsia" w:ascii="Times New Roman" w:hAnsi="Times New Roman" w:eastAsia="仿宋_GB2312" w:cs="Times New Roman"/>
          <w:color w:val="auto"/>
          <w:sz w:val="32"/>
          <w:szCs w:val="32"/>
          <w:highlight w:val="none"/>
        </w:rPr>
        <w:t>社区至少配建1处综合养老服务设施，邻里级至少配建1处老年人日间照料设施。</w:t>
      </w:r>
    </w:p>
    <w:p>
      <w:pPr>
        <w:keepNext/>
        <w:keepLines/>
        <w:numPr>
          <w:ilvl w:val="0"/>
          <w:numId w:val="9"/>
        </w:numPr>
        <w:spacing w:before="78" w:beforeLines="25" w:after="78" w:afterLines="25" w:line="700" w:lineRule="exact"/>
        <w:ind w:left="0" w:firstLine="0"/>
        <w:jc w:val="center"/>
        <w:outlineLvl w:val="1"/>
        <w:rPr>
          <w:rFonts w:ascii="黑体" w:hAnsi="黑体" w:eastAsia="黑体" w:cs="黑体"/>
          <w:b/>
          <w:bCs/>
          <w:color w:val="auto"/>
          <w:sz w:val="32"/>
          <w:szCs w:val="32"/>
          <w:highlight w:val="none"/>
        </w:rPr>
      </w:pPr>
      <w:bookmarkStart w:id="66" w:name="_Toc14580"/>
      <w:r>
        <w:rPr>
          <w:rFonts w:hint="eastAsia" w:ascii="黑体" w:hAnsi="黑体" w:eastAsia="黑体" w:cs="黑体"/>
          <w:b/>
          <w:bCs/>
          <w:color w:val="auto"/>
          <w:sz w:val="32"/>
          <w:szCs w:val="32"/>
          <w:highlight w:val="none"/>
        </w:rPr>
        <w:t>蓝绿开敞空间与公共空间规划</w:t>
      </w:r>
      <w:bookmarkEnd w:id="66"/>
    </w:p>
    <w:p>
      <w:pPr>
        <w:pStyle w:val="48"/>
        <w:spacing w:line="560" w:lineRule="exact"/>
        <w:ind w:firstLine="64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建设目标：围绕“秀美蜻蛉”的生态园林宜居城总体目标布局构建城市绿地系统，全面优化绿地布局结构，形成网络化、一体化的绿地系统。到2035年，城市建成区人均公园绿地面积达到14平方米，道路绿化达标率90%以上，创建成为国家生态园林城市。</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按照“300米见绿、500米见园”</w:t>
      </w:r>
      <w:r>
        <w:rPr>
          <w:rFonts w:hint="eastAsia" w:ascii="Times New Roman" w:hAnsi="Times New Roman" w:eastAsia="仿宋_GB2312" w:cs="Times New Roman"/>
          <w:color w:val="auto"/>
          <w:sz w:val="32"/>
          <w:szCs w:val="32"/>
          <w:highlight w:val="none"/>
          <w:lang w:val="en-US" w:eastAsia="zh-CN"/>
        </w:rPr>
        <w:t>的原则，规划布局建设</w:t>
      </w:r>
      <w:r>
        <w:rPr>
          <w:rFonts w:hint="eastAsia" w:ascii="Times New Roman" w:hAnsi="Times New Roman" w:eastAsia="仿宋_GB2312" w:cs="Times New Roman"/>
          <w:color w:val="auto"/>
          <w:sz w:val="32"/>
          <w:szCs w:val="32"/>
          <w:highlight w:val="none"/>
        </w:rPr>
        <w:t>白塔公园、西河森林</w:t>
      </w:r>
      <w:r>
        <w:rPr>
          <w:rFonts w:hint="eastAsia" w:ascii="Times New Roman" w:hAnsi="Times New Roman" w:eastAsia="仿宋_GB2312" w:cs="Times New Roman"/>
          <w:color w:val="auto"/>
          <w:sz w:val="32"/>
          <w:szCs w:val="32"/>
          <w:highlight w:val="none"/>
          <w:lang w:val="en-US" w:eastAsia="zh-CN"/>
        </w:rPr>
        <w:t>运动</w:t>
      </w:r>
      <w:r>
        <w:rPr>
          <w:rFonts w:hint="eastAsia" w:ascii="Times New Roman" w:hAnsi="Times New Roman" w:eastAsia="仿宋_GB2312" w:cs="Times New Roman"/>
          <w:color w:val="auto"/>
          <w:sz w:val="32"/>
          <w:szCs w:val="32"/>
          <w:highlight w:val="none"/>
        </w:rPr>
        <w:t>公园、蜻蛉湖公园、</w:t>
      </w:r>
      <w:r>
        <w:rPr>
          <w:rFonts w:hint="eastAsia" w:ascii="Times New Roman" w:hAnsi="Times New Roman" w:eastAsia="仿宋_GB2312" w:cs="Times New Roman"/>
          <w:color w:val="auto"/>
          <w:sz w:val="32"/>
          <w:szCs w:val="32"/>
          <w:highlight w:val="none"/>
          <w:lang w:val="en-US" w:eastAsia="zh-CN"/>
        </w:rPr>
        <w:t>金碧</w:t>
      </w:r>
      <w:r>
        <w:rPr>
          <w:rFonts w:hint="eastAsia" w:ascii="Times New Roman" w:hAnsi="Times New Roman" w:eastAsia="仿宋_GB2312" w:cs="Times New Roman"/>
          <w:color w:val="auto"/>
          <w:sz w:val="32"/>
          <w:szCs w:val="32"/>
          <w:highlight w:val="none"/>
        </w:rPr>
        <w:t>公园</w:t>
      </w:r>
      <w:r>
        <w:rPr>
          <w:rFonts w:hint="eastAsia" w:ascii="Times New Roman" w:hAnsi="Times New Roman" w:eastAsia="仿宋_GB2312" w:cs="Times New Roman"/>
          <w:color w:val="auto"/>
          <w:sz w:val="32"/>
          <w:szCs w:val="32"/>
          <w:highlight w:val="none"/>
          <w:lang w:val="en-US" w:eastAsia="zh-CN"/>
        </w:rPr>
        <w:t>和</w:t>
      </w:r>
      <w:r>
        <w:rPr>
          <w:rFonts w:hint="eastAsia" w:ascii="Times New Roman" w:hAnsi="Times New Roman" w:eastAsia="仿宋_GB2312" w:cs="Times New Roman"/>
          <w:color w:val="auto"/>
          <w:sz w:val="32"/>
          <w:szCs w:val="32"/>
          <w:highlight w:val="none"/>
        </w:rPr>
        <w:t>东塔</w:t>
      </w:r>
      <w:r>
        <w:rPr>
          <w:rFonts w:hint="eastAsia" w:ascii="Times New Roman" w:hAnsi="Times New Roman" w:eastAsia="仿宋_GB2312" w:cs="Times New Roman"/>
          <w:color w:val="auto"/>
          <w:sz w:val="32"/>
          <w:szCs w:val="32"/>
          <w:highlight w:val="none"/>
          <w:lang w:val="en-US" w:eastAsia="zh-CN"/>
        </w:rPr>
        <w:t>山</w:t>
      </w:r>
      <w:r>
        <w:rPr>
          <w:rFonts w:hint="eastAsia" w:ascii="Times New Roman" w:hAnsi="Times New Roman" w:eastAsia="仿宋_GB2312" w:cs="Times New Roman"/>
          <w:color w:val="auto"/>
          <w:sz w:val="32"/>
          <w:szCs w:val="32"/>
          <w:highlight w:val="none"/>
        </w:rPr>
        <w:t>公园等公园，</w:t>
      </w:r>
      <w:r>
        <w:rPr>
          <w:rFonts w:hint="eastAsia" w:ascii="Times New Roman" w:hAnsi="Times New Roman" w:eastAsia="仿宋_GB2312" w:cs="Times New Roman"/>
          <w:color w:val="auto"/>
          <w:sz w:val="32"/>
          <w:szCs w:val="32"/>
          <w:highlight w:val="none"/>
          <w:lang w:val="en-US" w:eastAsia="zh-CN"/>
        </w:rPr>
        <w:t>规划</w:t>
      </w:r>
      <w:r>
        <w:rPr>
          <w:rFonts w:hint="eastAsia" w:ascii="Times New Roman" w:hAnsi="Times New Roman" w:eastAsia="仿宋_GB2312" w:cs="Times New Roman"/>
          <w:color w:val="auto"/>
          <w:sz w:val="32"/>
          <w:szCs w:val="32"/>
          <w:highlight w:val="none"/>
        </w:rPr>
        <w:t>布局社区公园</w:t>
      </w:r>
      <w:r>
        <w:rPr>
          <w:rFonts w:hint="eastAsia" w:ascii="Times New Roman" w:hAnsi="Times New Roman" w:eastAsia="仿宋_GB2312" w:cs="Times New Roman"/>
          <w:color w:val="auto"/>
          <w:sz w:val="32"/>
          <w:szCs w:val="32"/>
          <w:highlight w:val="none"/>
          <w:lang w:val="en-US" w:eastAsia="zh-CN"/>
        </w:rPr>
        <w:t>和</w:t>
      </w:r>
      <w:r>
        <w:rPr>
          <w:rFonts w:hint="eastAsia" w:ascii="Times New Roman" w:hAnsi="Times New Roman" w:eastAsia="仿宋_GB2312" w:cs="Times New Roman"/>
          <w:color w:val="auto"/>
          <w:sz w:val="32"/>
          <w:szCs w:val="32"/>
          <w:highlight w:val="none"/>
        </w:rPr>
        <w:t>街旁游园等小型公园绿地。</w:t>
      </w:r>
    </w:p>
    <w:p>
      <w:pPr>
        <w:keepNext/>
        <w:keepLines/>
        <w:numPr>
          <w:ilvl w:val="0"/>
          <w:numId w:val="9"/>
        </w:numPr>
        <w:spacing w:before="78" w:beforeLines="25" w:after="78" w:afterLines="25" w:line="700" w:lineRule="exact"/>
        <w:ind w:left="0" w:firstLine="0"/>
        <w:jc w:val="center"/>
        <w:outlineLvl w:val="1"/>
        <w:rPr>
          <w:rFonts w:ascii="黑体" w:hAnsi="黑体" w:eastAsia="黑体" w:cs="黑体"/>
          <w:b/>
          <w:bCs/>
          <w:color w:val="auto"/>
          <w:sz w:val="32"/>
          <w:szCs w:val="32"/>
          <w:highlight w:val="none"/>
        </w:rPr>
      </w:pPr>
      <w:bookmarkStart w:id="67" w:name="_Toc8133"/>
      <w:r>
        <w:rPr>
          <w:rFonts w:hint="eastAsia" w:ascii="黑体" w:hAnsi="黑体" w:eastAsia="黑体" w:cs="黑体"/>
          <w:b/>
          <w:bCs/>
          <w:color w:val="auto"/>
          <w:sz w:val="32"/>
          <w:szCs w:val="32"/>
          <w:highlight w:val="none"/>
        </w:rPr>
        <w:t>城市设计与风貌引导</w:t>
      </w:r>
      <w:bookmarkEnd w:id="67"/>
    </w:p>
    <w:p>
      <w:pPr>
        <w:pStyle w:val="4"/>
        <w:numPr>
          <w:ilvl w:val="2"/>
          <w:numId w:val="0"/>
        </w:numPr>
        <w:spacing w:before="0" w:after="0" w:line="560" w:lineRule="exact"/>
        <w:ind w:firstLine="640" w:firstLineChars="200"/>
        <w:rPr>
          <w:rFonts w:ascii="仿宋_GB2312" w:hAnsi="仿宋_GB2312" w:eastAsia="仿宋_GB2312" w:cs="仿宋_GB2312"/>
          <w:color w:val="auto"/>
          <w:highlight w:val="none"/>
        </w:rPr>
      </w:pPr>
      <w:r>
        <w:rPr>
          <w:rFonts w:hint="eastAsia" w:ascii="黑体" w:hAnsi="黑体" w:eastAsia="黑体" w:cs="黑体"/>
          <w:b w:val="0"/>
          <w:bCs w:val="0"/>
          <w:color w:val="auto"/>
          <w:highlight w:val="none"/>
        </w:rPr>
        <w:t>一、城市风貌分区</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仿宋_GB2312" w:hAnsi="仿宋_GB2312" w:eastAsia="仿宋_GB2312" w:cs="仿宋_GB2312"/>
          <w:color w:val="auto"/>
          <w:sz w:val="32"/>
          <w:szCs w:val="32"/>
          <w:highlight w:val="none"/>
        </w:rPr>
        <w:t>按照</w:t>
      </w:r>
      <w:r>
        <w:rPr>
          <w:rFonts w:hint="eastAsia" w:ascii="仿宋_GB2312" w:hAnsi="仿宋_GB2312" w:eastAsia="仿宋_GB2312" w:cs="仿宋_GB2312"/>
          <w:color w:val="auto"/>
          <w:sz w:val="32"/>
          <w:szCs w:val="32"/>
          <w:highlight w:val="none"/>
          <w:lang w:val="en-US" w:eastAsia="zh-CN"/>
        </w:rPr>
        <w:t>西北部</w:t>
      </w:r>
      <w:r>
        <w:rPr>
          <w:rFonts w:hint="eastAsia" w:ascii="仿宋_GB2312" w:hAnsi="仿宋_GB2312" w:eastAsia="仿宋_GB2312" w:cs="仿宋_GB2312"/>
          <w:color w:val="auto"/>
          <w:sz w:val="32"/>
          <w:szCs w:val="32"/>
          <w:highlight w:val="none"/>
        </w:rPr>
        <w:t>产业风貌区、老城综合提升</w:t>
      </w:r>
      <w:r>
        <w:rPr>
          <w:rFonts w:hint="eastAsia" w:ascii="仿宋_GB2312" w:hAnsi="仿宋_GB2312" w:eastAsia="仿宋_GB2312" w:cs="仿宋_GB2312"/>
          <w:color w:val="auto"/>
          <w:sz w:val="32"/>
          <w:szCs w:val="32"/>
          <w:highlight w:val="none"/>
          <w:lang w:val="en-US" w:eastAsia="zh-CN"/>
        </w:rPr>
        <w:t>宜居</w:t>
      </w:r>
      <w:r>
        <w:rPr>
          <w:rFonts w:hint="eastAsia" w:ascii="仿宋_GB2312" w:hAnsi="仿宋_GB2312" w:eastAsia="仿宋_GB2312" w:cs="仿宋_GB2312"/>
          <w:color w:val="auto"/>
          <w:sz w:val="32"/>
          <w:szCs w:val="32"/>
          <w:highlight w:val="none"/>
        </w:rPr>
        <w:t>风貌区、东部新城</w:t>
      </w:r>
      <w:r>
        <w:rPr>
          <w:rFonts w:hint="eastAsia" w:ascii="仿宋_GB2312" w:hAnsi="仿宋_GB2312" w:eastAsia="仿宋_GB2312" w:cs="仿宋_GB2312"/>
          <w:color w:val="auto"/>
          <w:sz w:val="32"/>
          <w:szCs w:val="32"/>
          <w:highlight w:val="none"/>
          <w:lang w:val="en-US" w:eastAsia="zh-CN"/>
        </w:rPr>
        <w:t>休闲</w:t>
      </w:r>
      <w:r>
        <w:rPr>
          <w:rFonts w:hint="eastAsia" w:ascii="仿宋_GB2312" w:hAnsi="仿宋_GB2312" w:eastAsia="仿宋_GB2312" w:cs="仿宋_GB2312"/>
          <w:color w:val="auto"/>
          <w:sz w:val="32"/>
          <w:szCs w:val="32"/>
          <w:highlight w:val="none"/>
        </w:rPr>
        <w:t>风貌区三个风貌分区对城区风貌分区引导。其中，</w:t>
      </w:r>
      <w:r>
        <w:rPr>
          <w:rFonts w:hint="eastAsia" w:ascii="仿宋_GB2312" w:hAnsi="仿宋_GB2312" w:eastAsia="仿宋_GB2312" w:cs="仿宋_GB2312"/>
          <w:color w:val="auto"/>
          <w:sz w:val="32"/>
          <w:szCs w:val="32"/>
          <w:highlight w:val="none"/>
          <w:lang w:val="en-US" w:eastAsia="zh-CN"/>
        </w:rPr>
        <w:t>西北部</w:t>
      </w:r>
      <w:r>
        <w:rPr>
          <w:rFonts w:hint="eastAsia" w:ascii="仿宋_GB2312" w:hAnsi="仿宋_GB2312" w:eastAsia="仿宋_GB2312" w:cs="仿宋_GB2312"/>
          <w:color w:val="auto"/>
          <w:sz w:val="32"/>
          <w:szCs w:val="32"/>
          <w:highlight w:val="none"/>
        </w:rPr>
        <w:t>产业风貌区结合核桃加工等产业体现工业、商业等整体风貌形象；老城综合提升</w:t>
      </w:r>
      <w:r>
        <w:rPr>
          <w:rFonts w:hint="eastAsia" w:ascii="仿宋_GB2312" w:hAnsi="仿宋_GB2312" w:eastAsia="仿宋_GB2312" w:cs="仿宋_GB2312"/>
          <w:color w:val="auto"/>
          <w:sz w:val="32"/>
          <w:szCs w:val="32"/>
          <w:highlight w:val="none"/>
          <w:lang w:val="en-US" w:eastAsia="zh-CN"/>
        </w:rPr>
        <w:t>宜居</w:t>
      </w:r>
      <w:r>
        <w:rPr>
          <w:rFonts w:hint="eastAsia" w:ascii="仿宋_GB2312" w:hAnsi="仿宋_GB2312" w:eastAsia="仿宋_GB2312" w:cs="仿宋_GB2312"/>
          <w:color w:val="auto"/>
          <w:sz w:val="32"/>
          <w:szCs w:val="32"/>
          <w:highlight w:val="none"/>
        </w:rPr>
        <w:t>风貌区重点对乱停乱放、乱吐乱扔、乱贴乱画、乱搭乱建、乱采乱占“十乱”现象进行整治，推进主题街巷、主题广场等布局；东部新城</w:t>
      </w:r>
      <w:r>
        <w:rPr>
          <w:rFonts w:hint="eastAsia" w:ascii="仿宋_GB2312" w:hAnsi="仿宋_GB2312" w:eastAsia="仿宋_GB2312" w:cs="仿宋_GB2312"/>
          <w:color w:val="auto"/>
          <w:sz w:val="32"/>
          <w:szCs w:val="32"/>
          <w:highlight w:val="none"/>
          <w:lang w:val="en-US" w:eastAsia="zh-CN"/>
        </w:rPr>
        <w:t>休闲</w:t>
      </w:r>
      <w:r>
        <w:rPr>
          <w:rFonts w:hint="eastAsia" w:ascii="仿宋_GB2312" w:hAnsi="仿宋_GB2312" w:eastAsia="仿宋_GB2312" w:cs="仿宋_GB2312"/>
          <w:color w:val="auto"/>
          <w:sz w:val="32"/>
          <w:szCs w:val="32"/>
          <w:highlight w:val="none"/>
        </w:rPr>
        <w:t>风貌区结合城市建设，展示新城特色风貌。</w:t>
      </w:r>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二、打造特色鲜明的城市门户及地标</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加强县级政务中心、公共活动中心、文物保护单位、滨水空间、河流交汇处、城市门户、交通枢纽等区域的城市设计，突出强调城市标志，重点控制好城市眺望点之间或重要公共空间的视线廊道。</w:t>
      </w:r>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三、严格控制“山水塔路</w:t>
      </w:r>
      <w:r>
        <w:rPr>
          <w:rFonts w:ascii="黑体" w:hAnsi="黑体" w:eastAsia="黑体" w:cs="黑体"/>
          <w:b w:val="0"/>
          <w:bCs w:val="0"/>
          <w:color w:val="auto"/>
          <w:highlight w:val="none"/>
        </w:rPr>
        <w:t>”</w:t>
      </w:r>
      <w:r>
        <w:rPr>
          <w:rFonts w:hint="eastAsia" w:ascii="黑体" w:hAnsi="黑体" w:eastAsia="黑体" w:cs="黑体"/>
          <w:b w:val="0"/>
          <w:bCs w:val="0"/>
          <w:color w:val="auto"/>
          <w:highlight w:val="none"/>
        </w:rPr>
        <w:t>的景观风貌</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沿山景观引导区主要控制山边500-1000m，主要引导区域为东塔山、南塔山、西山、白塔山、东北部山体等重要景观山体周边。结合视线分析，山边建设要求重要山脊线以下适度山体景观不被建筑物遮挡，预留观山视廊与登山通廊；沿白塔、锁水塔、文笔塔区域，应预留各标志物与城区的视线通廊，保证景观视廊的通透性，控制周边建构筑物色彩、高度，注重周边建构筑物与标志物的和谐。沿路景观引导区主要控制南永高速、元大高速两侧、中心城区街道两侧，重点控制金碧路、咪依噜大街、金龙路和北街路等道路，严格控制建筑管制区建设并整治提升沿线的自然景观和城市景观界面，中心城区城市街道主要分商业及生活性界面的街道，应通过控制退让间距和界面的连续性，保持良好的街道空间尺度。</w:t>
      </w:r>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四、强化视廊与天际线控制</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重点塑造城市视线廊，实现山体景观自然渗透及对景点的视线控制，体现“山里有城、城中有山”的青翠高山之中秀丽的城市特色意境。控制城区主要公共开敞空间与周边山体之间的景观连续性和通透性；严格控制白塔公园、南塔公园和蜻蛉湖的景观视廊，周边建筑以低层和多层为主，使景观向外渗透；严格控制沿山建筑层高，留出周边山体与城区的视线通廊。在对天际线整体把握的基础上，确立重点的建构筑物，或与背景形成对比，或突出其中心位置。</w:t>
      </w:r>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五、明确建筑控制引导要求</w:t>
      </w:r>
    </w:p>
    <w:p>
      <w:pPr>
        <w:spacing w:line="560" w:lineRule="exact"/>
        <w:ind w:firstLine="640" w:firstLineChars="200"/>
        <w:rPr>
          <w:color w:val="auto"/>
          <w:highlight w:val="none"/>
        </w:rPr>
      </w:pPr>
      <w:r>
        <w:rPr>
          <w:rFonts w:hint="eastAsia" w:ascii="Times New Roman" w:hAnsi="Times New Roman" w:eastAsia="仿宋_GB2312" w:cs="Times New Roman"/>
          <w:color w:val="auto"/>
          <w:sz w:val="32"/>
          <w:szCs w:val="32"/>
          <w:highlight w:val="none"/>
        </w:rPr>
        <w:t>以传统建筑或传统演绎建筑及传统建筑符号、特色元素符号装饰的建筑风格为主，以塔文化、孔子文化、核桃文化为建筑图案元素，演绎穿斗式和多民族文化融合风貌样式，形成文化与建筑相结合的现代地域特色建筑空间。城市色彩引导的基本思路为：以白、灰为主调色，以黑灰、红褐色为强调色。在核桃文化展示区域将相关特色元素运用于建筑、景观环境中，构建具有“核桃文化”内涵的大姚核桃产业文化片区。在北部、南部入城口区域以传统民居风貌为主，以塔文化、儒家文化元素符号为设计母题进行设计。在滨水自然边界控制区域，以传统民居风格为主，避免大体量、高层建筑的出现。在与山体、田园的自然分界线区域，沿线建筑应与边界自然融合。</w:t>
      </w:r>
    </w:p>
    <w:p>
      <w:pPr>
        <w:keepNext/>
        <w:keepLines/>
        <w:numPr>
          <w:ilvl w:val="0"/>
          <w:numId w:val="9"/>
        </w:numPr>
        <w:spacing w:before="78" w:beforeLines="25" w:after="78" w:afterLines="25" w:line="700" w:lineRule="exact"/>
        <w:ind w:left="0" w:firstLine="0"/>
        <w:jc w:val="center"/>
        <w:outlineLvl w:val="1"/>
        <w:rPr>
          <w:rFonts w:ascii="黑体" w:hAnsi="黑体" w:eastAsia="黑体" w:cs="黑体"/>
          <w:b/>
          <w:bCs/>
          <w:color w:val="auto"/>
          <w:sz w:val="32"/>
          <w:szCs w:val="32"/>
          <w:highlight w:val="none"/>
        </w:rPr>
      </w:pPr>
      <w:bookmarkStart w:id="68" w:name="_Toc13079"/>
      <w:r>
        <w:rPr>
          <w:rFonts w:hint="eastAsia" w:ascii="黑体" w:hAnsi="黑体" w:eastAsia="黑体" w:cs="黑体"/>
          <w:b/>
          <w:bCs/>
          <w:color w:val="auto"/>
          <w:sz w:val="32"/>
          <w:szCs w:val="32"/>
          <w:highlight w:val="none"/>
        </w:rPr>
        <w:t>详细规划单元划定</w:t>
      </w:r>
      <w:bookmarkEnd w:id="68"/>
    </w:p>
    <w:p>
      <w:pPr>
        <w:spacing w:line="560" w:lineRule="exact"/>
        <w:ind w:firstLine="640" w:firstLineChars="200"/>
        <w:rPr>
          <w:rFonts w:ascii="Times New Roman" w:hAnsi="Times New Roman" w:eastAsia="仿宋_GB2312" w:cs="Times New Roman"/>
          <w:bCs/>
          <w:strike/>
          <w:color w:val="auto"/>
          <w:sz w:val="32"/>
          <w:szCs w:val="32"/>
          <w:highlight w:val="none"/>
        </w:rPr>
      </w:pPr>
      <w:r>
        <w:rPr>
          <w:rFonts w:ascii="Times New Roman" w:hAnsi="Times New Roman" w:eastAsia="仿宋_GB2312" w:cs="Times New Roman"/>
          <w:color w:val="auto"/>
          <w:sz w:val="32"/>
          <w:szCs w:val="32"/>
          <w:highlight w:val="none"/>
        </w:rPr>
        <w:t>按照《云南省详细规划编制单元划定指引（试行）》要求划定详细规划单元。国土空间详细规划和县层级涉及空间利用的相关专项规划，原则上使用用地分类的二级类和三级类。详细规划单元结合镇街社区范围、社区生活圈布局及已批控规情况等，中心城区规划划定详细规划单元3个，均为城镇单元。</w:t>
      </w:r>
      <w:r>
        <w:rPr>
          <w:rFonts w:ascii="Times New Roman" w:hAnsi="Times New Roman" w:eastAsia="仿宋_GB2312" w:cs="Times New Roman"/>
          <w:bCs/>
          <w:color w:val="auto"/>
          <w:sz w:val="32"/>
          <w:szCs w:val="32"/>
          <w:highlight w:val="none"/>
        </w:rPr>
        <w:t>城镇单元中</w:t>
      </w:r>
      <w:r>
        <w:rPr>
          <w:rFonts w:ascii="Times New Roman" w:hAnsi="Times New Roman" w:eastAsia="仿宋_GB2312" w:cs="Times New Roman"/>
          <w:color w:val="auto"/>
          <w:sz w:val="32"/>
          <w:szCs w:val="32"/>
          <w:highlight w:val="none"/>
        </w:rPr>
        <w:t>工业发展</w:t>
      </w:r>
      <w:r>
        <w:rPr>
          <w:rFonts w:ascii="Times New Roman" w:hAnsi="Times New Roman" w:eastAsia="仿宋_GB2312" w:cs="Times New Roman"/>
          <w:bCs/>
          <w:color w:val="auto"/>
          <w:sz w:val="32"/>
          <w:szCs w:val="32"/>
          <w:highlight w:val="none"/>
        </w:rPr>
        <w:t>主导功能的1个，</w:t>
      </w:r>
      <w:r>
        <w:rPr>
          <w:rFonts w:ascii="Times New Roman" w:hAnsi="Times New Roman" w:eastAsia="仿宋_GB2312" w:cs="Times New Roman"/>
          <w:color w:val="auto"/>
          <w:sz w:val="32"/>
          <w:szCs w:val="32"/>
          <w:highlight w:val="none"/>
        </w:rPr>
        <w:t>居住生活</w:t>
      </w:r>
      <w:r>
        <w:rPr>
          <w:rFonts w:ascii="Times New Roman" w:hAnsi="Times New Roman" w:eastAsia="仿宋_GB2312" w:cs="Times New Roman"/>
          <w:bCs/>
          <w:color w:val="auto"/>
          <w:sz w:val="32"/>
          <w:szCs w:val="32"/>
          <w:highlight w:val="none"/>
        </w:rPr>
        <w:t>主导功能的1个，</w:t>
      </w:r>
      <w:r>
        <w:rPr>
          <w:rFonts w:ascii="Times New Roman" w:hAnsi="Times New Roman" w:eastAsia="仿宋_GB2312" w:cs="Times New Roman"/>
          <w:color w:val="auto"/>
          <w:sz w:val="32"/>
          <w:szCs w:val="32"/>
          <w:highlight w:val="none"/>
        </w:rPr>
        <w:t>综合服务</w:t>
      </w:r>
      <w:r>
        <w:rPr>
          <w:rFonts w:ascii="Times New Roman" w:hAnsi="Times New Roman" w:eastAsia="仿宋_GB2312" w:cs="Times New Roman"/>
          <w:bCs/>
          <w:color w:val="auto"/>
          <w:sz w:val="32"/>
          <w:szCs w:val="32"/>
          <w:highlight w:val="none"/>
        </w:rPr>
        <w:t>主导功能的1个。</w:t>
      </w:r>
    </w:p>
    <w:p>
      <w:pPr>
        <w:keepNext/>
        <w:keepLines/>
        <w:numPr>
          <w:ilvl w:val="0"/>
          <w:numId w:val="9"/>
        </w:numPr>
        <w:spacing w:before="78" w:beforeLines="25" w:after="78" w:afterLines="25" w:line="700" w:lineRule="exact"/>
        <w:ind w:left="0" w:firstLine="0"/>
        <w:jc w:val="center"/>
        <w:outlineLvl w:val="1"/>
        <w:rPr>
          <w:rFonts w:ascii="黑体" w:hAnsi="黑体" w:eastAsia="黑体" w:cs="黑体"/>
          <w:b/>
          <w:bCs/>
          <w:color w:val="auto"/>
          <w:sz w:val="32"/>
          <w:szCs w:val="32"/>
          <w:highlight w:val="none"/>
        </w:rPr>
      </w:pPr>
      <w:bookmarkStart w:id="69" w:name="_Toc16129"/>
      <w:r>
        <w:rPr>
          <w:rFonts w:hint="eastAsia" w:ascii="黑体" w:hAnsi="黑体" w:eastAsia="黑体" w:cs="黑体"/>
          <w:b/>
          <w:bCs/>
          <w:color w:val="auto"/>
          <w:sz w:val="32"/>
          <w:szCs w:val="32"/>
          <w:highlight w:val="none"/>
        </w:rPr>
        <w:t>“四线”划定与管控</w:t>
      </w:r>
      <w:bookmarkEnd w:id="69"/>
    </w:p>
    <w:p>
      <w:pPr>
        <w:spacing w:line="560" w:lineRule="exact"/>
        <w:ind w:firstLine="640" w:firstLineChars="200"/>
        <w:rPr>
          <w:rFonts w:hint="eastAsia"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rPr>
        <w:t>城市黄线划定</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rPr>
        <w:t>包括白塔山净水厂、污水处理厂、110KV和35KV变电站、</w:t>
      </w:r>
      <w:r>
        <w:rPr>
          <w:rFonts w:hint="eastAsia" w:ascii="Times New Roman" w:hAnsi="Times New Roman" w:eastAsia="仿宋_GB2312" w:cs="Times New Roman"/>
          <w:color w:val="auto"/>
          <w:sz w:val="32"/>
          <w:szCs w:val="32"/>
          <w:highlight w:val="none"/>
          <w:u w:val="none"/>
          <w:lang w:val="en-US" w:eastAsia="zh-CN"/>
        </w:rPr>
        <w:t>消防站</w:t>
      </w:r>
      <w:r>
        <w:rPr>
          <w:rFonts w:hint="eastAsia" w:ascii="Times New Roman" w:hAnsi="Times New Roman" w:eastAsia="仿宋_GB2312" w:cs="Times New Roman"/>
          <w:color w:val="auto"/>
          <w:sz w:val="32"/>
          <w:szCs w:val="32"/>
          <w:highlight w:val="none"/>
          <w:u w:val="none"/>
        </w:rPr>
        <w:t>等。</w:t>
      </w:r>
    </w:p>
    <w:p>
      <w:pPr>
        <w:spacing w:line="560" w:lineRule="exact"/>
        <w:ind w:firstLine="640" w:firstLineChars="200"/>
        <w:rPr>
          <w:rFonts w:hint="eastAsia"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rPr>
        <w:t>城市绿线划定</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rPr>
        <w:t>包括城市综合性公园绿地、河流两侧带状公园绿地等。</w:t>
      </w:r>
    </w:p>
    <w:p>
      <w:pPr>
        <w:spacing w:line="560" w:lineRule="exact"/>
        <w:ind w:firstLine="640" w:firstLineChars="200"/>
        <w:rPr>
          <w:rFonts w:hint="eastAsia"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rPr>
        <w:t>城市蓝线划定。包括西河、小南河等河流范围。</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u w:val="none"/>
        </w:rPr>
        <w:t>城市紫线划定。具体边界在下层次规划中落位</w:t>
      </w:r>
      <w:r>
        <w:rPr>
          <w:rFonts w:hint="eastAsia" w:ascii="Times New Roman" w:hAnsi="Times New Roman" w:eastAsia="仿宋_GB2312" w:cs="Times New Roman"/>
          <w:color w:val="auto"/>
          <w:sz w:val="32"/>
          <w:szCs w:val="32"/>
          <w:highlight w:val="none"/>
          <w:u w:val="none"/>
          <w:lang w:eastAsia="zh-CN"/>
        </w:rPr>
        <w:t>。</w:t>
      </w:r>
    </w:p>
    <w:p>
      <w:pPr>
        <w:rPr>
          <w:rFonts w:ascii="方正小标宋简体" w:eastAsia="方正小标宋简体"/>
          <w:color w:val="auto"/>
          <w:sz w:val="32"/>
          <w:szCs w:val="32"/>
          <w:highlight w:val="none"/>
        </w:rPr>
      </w:pPr>
      <w:r>
        <w:rPr>
          <w:rFonts w:hint="eastAsia" w:ascii="Times New Roman" w:hAnsi="Times New Roman" w:eastAsia="仿宋_GB2312" w:cs="Times New Roman"/>
          <w:color w:val="auto"/>
          <w:sz w:val="32"/>
          <w:szCs w:val="32"/>
          <w:highlight w:val="none"/>
        </w:rPr>
        <w:br w:type="page"/>
      </w:r>
    </w:p>
    <w:p>
      <w:pPr>
        <w:pStyle w:val="2"/>
        <w:numPr>
          <w:ilvl w:val="0"/>
          <w:numId w:val="2"/>
        </w:numPr>
        <w:spacing w:before="120" w:after="120" w:line="360" w:lineRule="auto"/>
        <w:ind w:left="0"/>
        <w:jc w:val="center"/>
        <w:rPr>
          <w:rFonts w:ascii="黑体" w:hAnsi="黑体" w:eastAsia="黑体" w:cs="黑体"/>
          <w:color w:val="auto"/>
          <w:sz w:val="36"/>
          <w:szCs w:val="36"/>
          <w:highlight w:val="none"/>
        </w:rPr>
      </w:pPr>
      <w:r>
        <w:rPr>
          <w:rFonts w:hint="eastAsia" w:ascii="黑体" w:hAnsi="黑体" w:eastAsia="黑体" w:cs="黑体"/>
          <w:color w:val="auto"/>
          <w:sz w:val="36"/>
          <w:szCs w:val="36"/>
          <w:highlight w:val="none"/>
        </w:rPr>
        <w:t xml:space="preserve"> </w:t>
      </w:r>
      <w:bookmarkStart w:id="70" w:name="_Toc12821"/>
      <w:r>
        <w:rPr>
          <w:rFonts w:hint="eastAsia" w:ascii="黑体" w:hAnsi="黑体" w:eastAsia="黑体" w:cs="黑体"/>
          <w:color w:val="auto"/>
          <w:sz w:val="36"/>
          <w:szCs w:val="36"/>
          <w:highlight w:val="none"/>
        </w:rPr>
        <w:t>塑造大姚特色魅力空间</w:t>
      </w:r>
      <w:bookmarkEnd w:id="70"/>
    </w:p>
    <w:p>
      <w:pPr>
        <w:keepNext/>
        <w:keepLines/>
        <w:numPr>
          <w:ilvl w:val="0"/>
          <w:numId w:val="10"/>
        </w:numPr>
        <w:spacing w:before="78" w:beforeLines="25" w:after="78" w:afterLines="25" w:line="700" w:lineRule="exact"/>
        <w:ind w:left="0" w:firstLine="0"/>
        <w:jc w:val="center"/>
        <w:outlineLvl w:val="1"/>
        <w:rPr>
          <w:rFonts w:ascii="黑体" w:hAnsi="黑体" w:eastAsia="黑体" w:cs="黑体"/>
          <w:b/>
          <w:bCs/>
          <w:color w:val="auto"/>
          <w:sz w:val="32"/>
          <w:szCs w:val="32"/>
          <w:highlight w:val="none"/>
        </w:rPr>
      </w:pPr>
      <w:bookmarkStart w:id="71" w:name="_Toc6930"/>
      <w:r>
        <w:rPr>
          <w:rFonts w:hint="eastAsia" w:ascii="黑体" w:hAnsi="黑体" w:eastAsia="黑体" w:cs="黑体"/>
          <w:b/>
          <w:bCs/>
          <w:color w:val="auto"/>
          <w:sz w:val="32"/>
          <w:szCs w:val="32"/>
          <w:highlight w:val="none"/>
        </w:rPr>
        <w:t>加强全域历史文化保护与利用</w:t>
      </w:r>
      <w:bookmarkEnd w:id="71"/>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一、构建历史文化保护传承体系</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按照“空间全覆盖、要素全囊括”保护要求，加强县域多层级、多要素的历史文化资源整体保护，</w:t>
      </w:r>
      <w:r>
        <w:rPr>
          <w:rFonts w:hint="eastAsia" w:ascii="Times New Roman" w:hAnsi="Times New Roman" w:eastAsia="仿宋_GB2312" w:cs="Times New Roman"/>
          <w:color w:val="auto"/>
          <w:sz w:val="32"/>
          <w:szCs w:val="32"/>
          <w:highlight w:val="none"/>
          <w:u w:val="none"/>
        </w:rPr>
        <w:t>构建大姚县“历史文化名镇—传统村落—历史建筑—历史环境—文物保护单位—非物质文化遗产—文化保护区”的历史文化保护传承体系，</w:t>
      </w:r>
      <w:r>
        <w:rPr>
          <w:rFonts w:hint="eastAsia" w:ascii="Times New Roman" w:hAnsi="Times New Roman" w:eastAsia="仿宋_GB2312" w:cs="Times New Roman"/>
          <w:color w:val="auto"/>
          <w:sz w:val="32"/>
          <w:szCs w:val="32"/>
          <w:highlight w:val="none"/>
        </w:rPr>
        <w:t>明确保护重点、保护范围及保护要求，逐步做到“应保尽保”。持续推进县域历史文化保护对象普查、申报与增补、保护以及活化利用，加强历史文化资源信息化管理。防止拆真建假、以假乱真，严禁破坏各类历史文化区域的地形地貌和传统风貌。规划近期、远期的历史文化保护对象数量不低于现状。</w:t>
      </w:r>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二、保护历史文化物质要素及空间</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u w:val="none"/>
        </w:rPr>
        <w:t>保护石羊镇省级历史文化名镇。</w:t>
      </w:r>
      <w:r>
        <w:rPr>
          <w:rFonts w:hint="eastAsia" w:ascii="Times New Roman" w:hAnsi="Times New Roman" w:eastAsia="仿宋_GB2312" w:cs="Times New Roman"/>
          <w:color w:val="auto"/>
          <w:sz w:val="32"/>
          <w:szCs w:val="32"/>
          <w:highlight w:val="none"/>
        </w:rPr>
        <w:t>建立镇域、历史镇区及各类物质、非物质文化遗产三个层面的保护体系，划定石羊历史文化名镇保护范围。保护名镇以盐井、盐业工艺品为主体的盐文化，以孔庙为主体的儒家文化，以寺、阁、庵为主体的宗教文化，以古桥、古民居为主体的建筑文化。优化控制名镇人口数量，严格保护和延续整体空间格局、尺度和历史风貌，改善历史文化名镇的基础设施、公共服务设施和居住环境。在保护范围内开展相关活动，应符合名镇保护规划要求，不得损害历史文化遗产的真实性和完整性。</w:t>
      </w:r>
    </w:p>
    <w:p>
      <w:pPr>
        <w:keepNext/>
        <w:keepLines/>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u w:val="none"/>
        </w:rPr>
        <w:t>保护塔包谷么村中国传统村落。</w:t>
      </w:r>
      <w:r>
        <w:rPr>
          <w:rFonts w:hint="eastAsia" w:ascii="Times New Roman" w:hAnsi="Times New Roman" w:eastAsia="仿宋_GB2312" w:cs="Times New Roman"/>
          <w:color w:val="auto"/>
          <w:sz w:val="32"/>
          <w:szCs w:val="32"/>
          <w:highlight w:val="none"/>
        </w:rPr>
        <w:t>保护传统村落依山傍水、建筑自下而上台阶式分台建设总体布局，延续村落建筑高度、体量、外观形象及色彩与周边整体风貌协调，保护传统建筑形式与生活方式，加强村旁树木、村前河流等历史环境保护。在符合传统村落保护要求的前提下，可结合实际采取功能完善、内部设施设备更新等措施，改善提升使用者的居住生活环境。</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u w:val="none"/>
        </w:rPr>
        <w:t>保护文物保护单位和历史建筑。</w:t>
      </w:r>
      <w:r>
        <w:rPr>
          <w:rFonts w:hint="eastAsia" w:ascii="Times New Roman" w:hAnsi="Times New Roman" w:eastAsia="仿宋_GB2312" w:cs="Times New Roman"/>
          <w:color w:val="auto"/>
          <w:sz w:val="32"/>
          <w:szCs w:val="32"/>
          <w:highlight w:val="none"/>
        </w:rPr>
        <w:t>按照“保护第一、加强管理、挖掘价值、有效利用、让文物活起来”的保护原则以及《文物保护法》《文物保护法实施条例》等有关要求，保护大姚县73处文物保护名录中的各类要素，包括：石窟寺及石刻4处、近现代重要史迹及代表性建筑14处、古建筑29处、古遗址15处、古墓葬9处和其他2处。保护大姚县40处</w:t>
      </w:r>
      <w:r>
        <w:rPr>
          <w:rFonts w:hint="eastAsia" w:ascii="Times New Roman" w:hAnsi="Times New Roman" w:eastAsia="仿宋_GB2312" w:cs="Times New Roman"/>
          <w:color w:val="auto"/>
          <w:sz w:val="32"/>
          <w:szCs w:val="32"/>
          <w:highlight w:val="none"/>
          <w:lang w:val="en-US" w:eastAsia="zh-CN"/>
        </w:rPr>
        <w:t>各级</w:t>
      </w:r>
      <w:r>
        <w:rPr>
          <w:rFonts w:hint="eastAsia" w:ascii="Times New Roman" w:hAnsi="Times New Roman" w:eastAsia="仿宋_GB2312" w:cs="Times New Roman"/>
          <w:color w:val="auto"/>
          <w:sz w:val="32"/>
          <w:szCs w:val="32"/>
          <w:highlight w:val="none"/>
        </w:rPr>
        <w:t>文物保护单位，包括：全国重点文物保护单位1处（唐天宝年间的罄棰大姚白塔）、省级重点文物保护单位4处（明清时期的石羊文庙及孔子铜像、明朝天启年间的妙峰山德云寺等文物、赵祚传烈士墓、汉代的石羊庆丰盐井遗址）、州级文物保护单位10处（清代的石羊南塔、文笔塔、锁水塔、昙华石刻、龙山祖师墓、龙山石刻、胡屯胡氏宗祠和1985年的大姚烈士纪念碑、1955年的盐丰烈士纪念塔、大姚文庙大成殿）和县级文物保护单位25处。保护历史建筑8处（石羊社区的白井酒楼、石羊社区文联街的陈会琼房屋、石羊社区绿萝街的段锦平房屋、石羊社区象岭街的郭锡亮房屋、石羊社区西关村的杨王成房屋、石羊社区宝泉街的新华书店、石羊社区办公楼和原国税局大楼）。</w:t>
      </w:r>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 xml:space="preserve">三、保护与传承非物质文化遗产及空间 </w:t>
      </w:r>
    </w:p>
    <w:p>
      <w:pPr>
        <w:spacing w:line="560" w:lineRule="exact"/>
        <w:ind w:firstLine="640" w:firstLineChars="200"/>
        <w:rPr>
          <w:color w:val="auto"/>
          <w:highlight w:val="none"/>
        </w:rPr>
      </w:pPr>
      <w:r>
        <w:rPr>
          <w:rFonts w:hint="eastAsia" w:ascii="Times New Roman" w:hAnsi="Times New Roman" w:eastAsia="仿宋_GB2312" w:cs="Times New Roman"/>
          <w:color w:val="auto"/>
          <w:sz w:val="32"/>
          <w:szCs w:val="32"/>
          <w:highlight w:val="none"/>
        </w:rPr>
        <w:t>健全非物质文化遗产保护工作体系，深入普查大姚非物质文化遗产，建立档案和数据库，加强名录体系建设，设立专项保护资金。促进传承人、传统工艺、民间文艺、文化活动和节庆、文化载体空间等保护，鼓励和支持打造民间艺术品牌，完善产业运作体系，促进文旅融合。重点保护大姚彝剧、梅葛、彝族服饰、火把节等4项国家级非物质文化遗产保护项目，昙华彝族插花节等3项省级非物质文化遗产保护项目，大姚彝族服饰制作技艺等22项州级非物质文化遗产保护项目和37项县级非物质文化遗产保护项目。</w:t>
      </w:r>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四、加强文化保护区保护</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加强百草岭生态文化保护区、三台乡彝族传统文化保护区、石羊镇传统文化保护区和昙华彝族传统文化保护区的保护和利用工作。深入发掘文化保护区的历史信息和价值，整合周边旅游资源，以生态文化、民族文化等为依托，创新文化资源的活化利用方式，打造特色突出的文化保护功能区域，同步开展文化研究、文化传承等活动。</w:t>
      </w:r>
    </w:p>
    <w:p>
      <w:pPr>
        <w:pStyle w:val="4"/>
        <w:numPr>
          <w:ilvl w:val="2"/>
          <w:numId w:val="0"/>
        </w:numPr>
        <w:spacing w:before="0" w:after="0" w:line="560" w:lineRule="exact"/>
        <w:ind w:firstLine="640" w:firstLineChars="200"/>
        <w:rPr>
          <w:rFonts w:ascii="Times New Roman" w:hAnsi="Times New Roman" w:eastAsia="仿宋_GB2312" w:cs="Times New Roman"/>
          <w:color w:val="auto"/>
          <w:highlight w:val="none"/>
          <w:u w:val="single"/>
        </w:rPr>
      </w:pPr>
      <w:r>
        <w:rPr>
          <w:rFonts w:hint="eastAsia" w:ascii="黑体" w:hAnsi="黑体" w:eastAsia="黑体" w:cs="黑体"/>
          <w:b w:val="0"/>
          <w:bCs w:val="0"/>
          <w:color w:val="auto"/>
          <w:highlight w:val="none"/>
        </w:rPr>
        <w:t>五、强化历史文化保护线管控</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结合文物主管部门历史文化遗产资源调查结果，中心城</w:t>
      </w:r>
    </w:p>
    <w:p>
      <w:pPr>
        <w:spacing w:line="560" w:lineRule="exact"/>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区内在详细规划和专项规划中进一步划准紫线边界，并在落</w:t>
      </w:r>
    </w:p>
    <w:p>
      <w:pPr>
        <w:spacing w:line="560" w:lineRule="exact"/>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实县级划定的紫线范围的前提下，在详细规划中对紫线范围</w:t>
      </w:r>
    </w:p>
    <w:p>
      <w:pPr>
        <w:spacing w:line="560" w:lineRule="exact"/>
        <w:rPr>
          <w:rFonts w:ascii="Times New Roman" w:hAnsi="Times New Roman" w:eastAsia="仿宋_GB2312" w:cs="Times New Roman"/>
          <w:color w:val="auto"/>
          <w:sz w:val="32"/>
          <w:szCs w:val="32"/>
          <w:highlight w:val="none"/>
          <w:u w:val="single"/>
        </w:rPr>
      </w:pPr>
      <w:r>
        <w:rPr>
          <w:rFonts w:hint="eastAsia" w:ascii="Times New Roman" w:hAnsi="Times New Roman" w:eastAsia="仿宋_GB2312" w:cs="Times New Roman"/>
          <w:color w:val="auto"/>
          <w:sz w:val="32"/>
          <w:szCs w:val="32"/>
          <w:highlight w:val="none"/>
        </w:rPr>
        <w:t>予以增补。并将划定紫线范围纳入国土空间规划“一张图”实施严格保护。在城镇开发边界外，推进历史文化保护线划定，强化历史文化保护。</w:t>
      </w:r>
    </w:p>
    <w:p>
      <w:pPr>
        <w:spacing w:line="560" w:lineRule="exact"/>
        <w:ind w:firstLine="640" w:firstLineChars="200"/>
        <w:rPr>
          <w:rFonts w:ascii="黑体" w:hAnsi="黑体" w:eastAsia="黑体" w:cs="黑体"/>
          <w:b/>
          <w:bCs/>
          <w:i/>
          <w:iCs/>
          <w:color w:val="auto"/>
          <w:sz w:val="32"/>
          <w:szCs w:val="32"/>
          <w:highlight w:val="none"/>
        </w:rPr>
      </w:pPr>
      <w:r>
        <w:rPr>
          <w:rFonts w:hint="eastAsia" w:ascii="Times New Roman" w:hAnsi="Times New Roman" w:eastAsia="仿宋_GB2312" w:cs="Times New Roman"/>
          <w:color w:val="auto"/>
          <w:sz w:val="32"/>
          <w:szCs w:val="32"/>
          <w:highlight w:val="none"/>
        </w:rPr>
        <w:t>将石羊镇历史文化名镇、塔苞谷么村中国传统村落、大姚白塔和石羊文庙等文物保护单位以及县级以上人民政府公布保护的历史建筑涉及的保护范围划定为历史文化保护范围，并按照《历史文化名城名镇名村保护条例》和《城市紫线管理办法》等相关要求进行管理</w:t>
      </w:r>
      <w:r>
        <w:rPr>
          <w:rFonts w:hint="eastAsia" w:ascii="Times New Roman" w:hAnsi="Times New Roman" w:eastAsia="仿宋_GB2312" w:cs="Times New Roman"/>
          <w:i/>
          <w:iCs/>
          <w:color w:val="auto"/>
          <w:sz w:val="32"/>
          <w:szCs w:val="32"/>
          <w:highlight w:val="none"/>
        </w:rPr>
        <w:t>。</w:t>
      </w:r>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六、加强历史文化资源与文旅融合衔接</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依托石羊镇省级历史文化名镇、大姚4个文化保护区等核心资源及其他各类历史文化资源、生态景观资源、旅游资源，衔接楚雄州文旅</w:t>
      </w:r>
      <w:r>
        <w:rPr>
          <w:rFonts w:hint="eastAsia" w:ascii="Times New Roman" w:hAnsi="Times New Roman" w:eastAsia="仿宋_GB2312" w:cs="Times New Roman"/>
          <w:color w:val="auto"/>
          <w:sz w:val="32"/>
          <w:szCs w:val="32"/>
          <w:highlight w:val="none"/>
          <w:lang w:val="en-US" w:eastAsia="zh-CN"/>
        </w:rPr>
        <w:t>发展</w:t>
      </w:r>
      <w:r>
        <w:rPr>
          <w:rFonts w:hint="eastAsia" w:ascii="Times New Roman" w:hAnsi="Times New Roman" w:eastAsia="仿宋_GB2312" w:cs="Times New Roman"/>
          <w:color w:val="auto"/>
          <w:sz w:val="32"/>
          <w:szCs w:val="32"/>
          <w:highlight w:val="none"/>
        </w:rPr>
        <w:t>布局，突出大姚县重点历史文化遗存的集中展示及活化利用，在保护的前提下探索历史文化资源的文旅融合活化使用场景，连点成线、成片，建立系统化的大姚魅力文化展示体系。促进文旅融合，完善文旅功能，结合博物馆、展示馆、村史陈列馆（室）、非物质文化遗产空间、文旅产业空间及设施、公园绿地广场等配套布局，构建县域及中心城区文化体验与旅游融合开发格局。</w:t>
      </w:r>
    </w:p>
    <w:p>
      <w:pPr>
        <w:keepNext/>
        <w:keepLines/>
        <w:numPr>
          <w:ilvl w:val="0"/>
          <w:numId w:val="10"/>
        </w:numPr>
        <w:spacing w:before="78" w:beforeLines="25" w:after="78" w:afterLines="25" w:line="700" w:lineRule="exact"/>
        <w:ind w:left="0" w:firstLine="0"/>
        <w:jc w:val="center"/>
        <w:outlineLvl w:val="1"/>
        <w:rPr>
          <w:rFonts w:ascii="黑体" w:hAnsi="黑体" w:eastAsia="黑体" w:cs="黑体"/>
          <w:b/>
          <w:bCs/>
          <w:color w:val="auto"/>
          <w:sz w:val="32"/>
          <w:szCs w:val="32"/>
          <w:highlight w:val="none"/>
        </w:rPr>
      </w:pPr>
      <w:bookmarkStart w:id="72" w:name="_Toc17757"/>
      <w:r>
        <w:rPr>
          <w:rFonts w:hint="eastAsia" w:ascii="黑体" w:hAnsi="黑体" w:eastAsia="黑体" w:cs="黑体"/>
          <w:b/>
          <w:bCs/>
          <w:color w:val="auto"/>
          <w:sz w:val="32"/>
          <w:szCs w:val="32"/>
          <w:highlight w:val="none"/>
        </w:rPr>
        <w:t>塑造特色城乡风貌与魅力空间</w:t>
      </w:r>
      <w:bookmarkEnd w:id="72"/>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一、提升城乡特色风貌</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县域层面。</w:t>
      </w:r>
      <w:r>
        <w:rPr>
          <w:rFonts w:hint="eastAsia" w:ascii="Times New Roman" w:hAnsi="Times New Roman" w:eastAsia="仿宋_GB2312" w:cs="Times New Roman"/>
          <w:color w:val="auto"/>
          <w:sz w:val="32"/>
          <w:szCs w:val="32"/>
          <w:highlight w:val="none"/>
        </w:rPr>
        <w:t>强化大姚生态、农业和城镇空间的全域全要素整体统筹，协调城镇、乡村与“山水林田湖草”的整体空间关系，优化县域整体空间秩序。依托峡谷瀑布特色，塑造和提升赵家店镇三潭瀑布区域魅力空间品质；依托中国彝族十八月太阳历发源地人文特色和昙花乡自然资源本底，塑造和提升昙花乡魅力空间品质。</w:t>
      </w:r>
    </w:p>
    <w:p>
      <w:pPr>
        <w:spacing w:line="560" w:lineRule="exact"/>
        <w:ind w:firstLine="640" w:firstLineChars="200"/>
        <w:rPr>
          <w:color w:val="auto"/>
          <w:highlight w:val="none"/>
        </w:rPr>
      </w:pPr>
      <w:r>
        <w:rPr>
          <w:rFonts w:hint="eastAsia" w:ascii="楷体" w:hAnsi="楷体" w:eastAsia="楷体" w:cs="楷体"/>
          <w:color w:val="auto"/>
          <w:sz w:val="32"/>
          <w:szCs w:val="32"/>
          <w:highlight w:val="none"/>
        </w:rPr>
        <w:t>中心城区层面。</w:t>
      </w:r>
      <w:r>
        <w:rPr>
          <w:rFonts w:hint="eastAsia" w:ascii="仿宋_GB2312" w:hAnsi="仿宋_GB2312" w:eastAsia="仿宋_GB2312" w:cs="仿宋_GB2312"/>
          <w:color w:val="auto"/>
          <w:sz w:val="32"/>
          <w:szCs w:val="32"/>
          <w:highlight w:val="none"/>
        </w:rPr>
        <w:t>积极运用城市设计手法优化坝区“山—水—城”空间，强调“山水林田河湖”与大姚县城及其周边区域村庄相融合的生态环境特色，保护“两廊、三塔、三河、四湖、五山”</w:t>
      </w:r>
      <w:r>
        <w:rPr>
          <w:rFonts w:hint="eastAsia" w:ascii="仿宋_GB2312" w:hAnsi="仿宋_GB2312" w:eastAsia="仿宋_GB2312" w:cs="仿宋_GB2312"/>
          <w:color w:val="auto"/>
          <w:sz w:val="32"/>
          <w:szCs w:val="32"/>
          <w:highlight w:val="none"/>
          <w:lang w:val="en-US" w:eastAsia="zh-CN"/>
        </w:rPr>
        <w:t>山水景互融的魅力空间</w:t>
      </w:r>
      <w:r>
        <w:rPr>
          <w:rFonts w:hint="eastAsia" w:ascii="仿宋_GB2312" w:hAnsi="仿宋_GB2312" w:eastAsia="仿宋_GB2312" w:cs="仿宋_GB2312"/>
          <w:color w:val="auto"/>
          <w:sz w:val="32"/>
          <w:szCs w:val="32"/>
          <w:highlight w:val="none"/>
        </w:rPr>
        <w:t>及城市形态。按照产业风貌区、</w:t>
      </w:r>
      <w:r>
        <w:rPr>
          <w:rFonts w:hint="eastAsia" w:ascii="仿宋_GB2312" w:hAnsi="仿宋_GB2312" w:eastAsia="仿宋_GB2312" w:cs="仿宋_GB2312"/>
          <w:color w:val="auto"/>
          <w:sz w:val="32"/>
          <w:szCs w:val="32"/>
          <w:highlight w:val="none"/>
          <w:lang w:val="en-US" w:eastAsia="zh-CN"/>
        </w:rPr>
        <w:t>宜居</w:t>
      </w:r>
      <w:r>
        <w:rPr>
          <w:rFonts w:hint="eastAsia" w:ascii="仿宋_GB2312" w:hAnsi="仿宋_GB2312" w:eastAsia="仿宋_GB2312" w:cs="仿宋_GB2312"/>
          <w:color w:val="auto"/>
          <w:sz w:val="32"/>
          <w:szCs w:val="32"/>
          <w:highlight w:val="none"/>
        </w:rPr>
        <w:t>风貌区、</w:t>
      </w:r>
      <w:r>
        <w:rPr>
          <w:rFonts w:hint="eastAsia" w:ascii="仿宋_GB2312" w:hAnsi="仿宋_GB2312" w:eastAsia="仿宋_GB2312" w:cs="仿宋_GB2312"/>
          <w:color w:val="auto"/>
          <w:sz w:val="32"/>
          <w:szCs w:val="32"/>
          <w:highlight w:val="none"/>
          <w:lang w:val="en-US" w:eastAsia="zh-CN"/>
        </w:rPr>
        <w:t>休闲</w:t>
      </w:r>
      <w:r>
        <w:rPr>
          <w:rFonts w:hint="eastAsia" w:ascii="仿宋_GB2312" w:hAnsi="仿宋_GB2312" w:eastAsia="仿宋_GB2312" w:cs="仿宋_GB2312"/>
          <w:color w:val="auto"/>
          <w:sz w:val="32"/>
          <w:szCs w:val="32"/>
          <w:highlight w:val="none"/>
        </w:rPr>
        <w:t>风貌区三个风貌分区对大姚中心城区风貌进行分区引导。</w:t>
      </w:r>
      <w:r>
        <w:rPr>
          <w:rFonts w:hint="eastAsia" w:ascii="Times New Roman" w:hAnsi="Times New Roman" w:eastAsia="仿宋_GB2312" w:cs="Times New Roman"/>
          <w:color w:val="auto"/>
          <w:sz w:val="32"/>
          <w:szCs w:val="32"/>
          <w:highlight w:val="none"/>
        </w:rPr>
        <w:t>促进县城绿色低碳建设管控，开展大姚县中心城区城市设计，对城市天际线、城市色彩、城市夜景、城市轴线及重要街道、视线通廊及有景观价值的制高点、公园绿地、城市滨水区等风貌形象进行引导，对中心城区的建设高度、密度和强度分区控制等提出优化建议。</w:t>
      </w:r>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二、塑造乡村特色风貌</w:t>
      </w:r>
    </w:p>
    <w:p>
      <w:pPr>
        <w:spacing w:line="54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提升大姚乡村风貌水平，注重融合大姚地域元素及保护自然景观、田园风光、山区坝区风光，考虑依山型村庄、傍水型村庄、自然风貌一般的村庄、人文风貌显著的村庄等差异化特征，严格乡村建筑风貌管控，注重提高乡村建筑文化品质和内涵，助推村庄实现“一村一景、一村一品”特色化发展。鼓励采用楚雄州及大姚县农房建设图集、村庄建设负面清单等形式，加强乡村特色风貌引导。</w:t>
      </w:r>
    </w:p>
    <w:p>
      <w:pPr>
        <w:spacing w:line="54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以“产、村、景、民族”一体化视角考虑大姚乡村风貌特色，其整体风貌意向为“古村、山水、田园”。其风貌特色为：彝族文化突出，汉族、傣族等多民族文化显现，依托山水和生态田园，实现田园风光、生态农业、乡村旅游、休闲旅游等产业与景观相融合。注重千里金沙生态风貌带（湾碧乡、铁锁乡，以金沙江沿线200米可见村庄为风貌重点展示区）、南永沿线景观风貌带（赵家店镇、金碧镇，高速公路沿线200米可见村庄为风貌重点打造村落、200-500米可见村庄为风貌协调区）、民族文化风貌带（新街镇、桂花镇、湾碧乡、昙华乡，瓦拉公路两侧100米可见村庄为风貌控制区）、元祥沿线风貌控制带（龙街镇、金碧镇、新街镇、石羊镇、三岔河镇，元祥公路沿线200米可见村庄为风貌控制区）等沿线的村庄风貌打造或提升。</w:t>
      </w:r>
    </w:p>
    <w:p>
      <w:pPr>
        <w:spacing w:line="540" w:lineRule="exact"/>
        <w:ind w:firstLine="640" w:firstLineChars="200"/>
        <w:rPr>
          <w:rFonts w:ascii="Times New Roman" w:hAnsi="Times New Roman" w:eastAsia="仿宋_GB2312" w:cs="Times New Roman"/>
          <w:color w:val="auto"/>
          <w:sz w:val="32"/>
          <w:szCs w:val="32"/>
          <w:highlight w:val="none"/>
        </w:rPr>
        <w:sectPr>
          <w:footerReference r:id="rId11" w:type="default"/>
          <w:pgSz w:w="11906" w:h="16838"/>
          <w:pgMar w:top="1440" w:right="1800" w:bottom="1440" w:left="1800" w:header="851" w:footer="992" w:gutter="0"/>
          <w:pgNumType w:start="1"/>
          <w:cols w:space="425" w:num="1"/>
          <w:docGrid w:type="lines" w:linePitch="312" w:charSpace="0"/>
        </w:sectPr>
      </w:pPr>
    </w:p>
    <w:p>
      <w:pPr>
        <w:rPr>
          <w:color w:val="auto"/>
          <w:highlight w:val="none"/>
        </w:rPr>
      </w:pPr>
    </w:p>
    <w:p>
      <w:pPr>
        <w:pStyle w:val="2"/>
        <w:numPr>
          <w:ilvl w:val="0"/>
          <w:numId w:val="2"/>
        </w:numPr>
        <w:spacing w:before="120" w:after="120" w:line="360" w:lineRule="auto"/>
        <w:ind w:left="0"/>
        <w:jc w:val="center"/>
        <w:rPr>
          <w:rFonts w:ascii="黑体" w:hAnsi="黑体" w:eastAsia="黑体" w:cs="黑体"/>
          <w:color w:val="auto"/>
          <w:sz w:val="36"/>
          <w:szCs w:val="36"/>
          <w:highlight w:val="none"/>
        </w:rPr>
      </w:pPr>
      <w:r>
        <w:rPr>
          <w:rFonts w:hint="eastAsia" w:ascii="黑体" w:hAnsi="黑体" w:eastAsia="黑体" w:cs="黑体"/>
          <w:color w:val="auto"/>
          <w:sz w:val="36"/>
          <w:szCs w:val="36"/>
          <w:highlight w:val="none"/>
        </w:rPr>
        <w:t xml:space="preserve"> </w:t>
      </w:r>
      <w:bookmarkStart w:id="73" w:name="_Toc21225"/>
      <w:r>
        <w:rPr>
          <w:rFonts w:hint="eastAsia" w:ascii="黑体" w:hAnsi="黑体" w:eastAsia="黑体" w:cs="黑体"/>
          <w:color w:val="auto"/>
          <w:sz w:val="36"/>
          <w:szCs w:val="36"/>
          <w:highlight w:val="none"/>
        </w:rPr>
        <w:t>建设重大要素支撑体系</w:t>
      </w:r>
      <w:bookmarkEnd w:id="73"/>
    </w:p>
    <w:p>
      <w:pPr>
        <w:keepNext/>
        <w:keepLines/>
        <w:numPr>
          <w:ilvl w:val="0"/>
          <w:numId w:val="11"/>
        </w:numPr>
        <w:spacing w:before="78" w:beforeLines="25" w:after="78" w:afterLines="25" w:line="700" w:lineRule="exact"/>
        <w:ind w:left="0" w:firstLine="0"/>
        <w:jc w:val="center"/>
        <w:outlineLvl w:val="1"/>
        <w:rPr>
          <w:rFonts w:ascii="黑体" w:hAnsi="黑体" w:eastAsia="黑体" w:cs="黑体"/>
          <w:b/>
          <w:bCs/>
          <w:color w:val="auto"/>
          <w:sz w:val="32"/>
          <w:szCs w:val="32"/>
          <w:highlight w:val="none"/>
        </w:rPr>
      </w:pPr>
      <w:bookmarkStart w:id="74" w:name="_Toc4208"/>
      <w:r>
        <w:rPr>
          <w:rFonts w:hint="eastAsia" w:ascii="黑体" w:hAnsi="黑体" w:eastAsia="黑体" w:cs="黑体"/>
          <w:b/>
          <w:bCs/>
          <w:color w:val="auto"/>
          <w:sz w:val="32"/>
          <w:szCs w:val="32"/>
          <w:highlight w:val="none"/>
        </w:rPr>
        <w:t>互联互通，打造现代高效的交通网络体系</w:t>
      </w:r>
      <w:bookmarkEnd w:id="74"/>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一、综合交通体系发展目标</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到2035年，形成大姚县现代化综合交通体系，基本建成高品质的快速交通网、高效率的县级干线交通网、广覆盖的农村基础网、多层次的综合交通枢纽体系。对外交通与县城或乡镇公共交通实现无缝化衔接。提升大姚绿色交通出行比例。</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构建联通楚雄市、昆明等滇中核心圈层城市的现代综合交通运输体系。构建云南西北部重要大通道，向北衔接丽江、四川，向西衔接大理，向南衔接楚雄市，向东衔接昆明。发展立体交通，谋划一纵一横“人”字型区域交通走廊。</w:t>
      </w:r>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二、塑造高效的综合交通体系</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航空规划。</w:t>
      </w:r>
      <w:r>
        <w:rPr>
          <w:rFonts w:hint="eastAsia" w:ascii="Times New Roman" w:hAnsi="Times New Roman" w:eastAsia="仿宋_GB2312" w:cs="Times New Roman"/>
          <w:color w:val="auto"/>
          <w:sz w:val="32"/>
          <w:szCs w:val="32"/>
          <w:highlight w:val="none"/>
        </w:rPr>
        <w:t>规划布局大姚通用机场。</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铁路规划。</w:t>
      </w:r>
      <w:r>
        <w:rPr>
          <w:rFonts w:hint="eastAsia" w:ascii="Times New Roman" w:hAnsi="Times New Roman" w:eastAsia="仿宋_GB2312" w:cs="Times New Roman"/>
          <w:color w:val="auto"/>
          <w:sz w:val="32"/>
          <w:szCs w:val="32"/>
          <w:highlight w:val="none"/>
        </w:rPr>
        <w:t>规划形成“一纵一横”的铁路网结构。</w:t>
      </w:r>
      <w:r>
        <w:rPr>
          <w:rFonts w:hint="eastAsia" w:ascii="楷体" w:hAnsi="楷体" w:eastAsia="楷体" w:cs="楷体"/>
          <w:color w:val="auto"/>
          <w:sz w:val="32"/>
          <w:szCs w:val="32"/>
          <w:highlight w:val="none"/>
        </w:rPr>
        <w:t>一纵：</w:t>
      </w:r>
      <w:r>
        <w:rPr>
          <w:rFonts w:hint="eastAsia" w:ascii="Times New Roman" w:hAnsi="Times New Roman" w:eastAsia="仿宋_GB2312" w:cs="Times New Roman"/>
          <w:color w:val="auto"/>
          <w:sz w:val="32"/>
          <w:szCs w:val="32"/>
          <w:highlight w:val="none"/>
        </w:rPr>
        <w:t>成昆铁路至中老缅泰铁路纵向联络线大姚段建设项目（楚雄—牟定—姚安—大姚—永仁），即楚永铁路大姚段。</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一横：</w:t>
      </w:r>
      <w:r>
        <w:rPr>
          <w:rFonts w:hint="eastAsia" w:ascii="Times New Roman" w:hAnsi="Times New Roman" w:eastAsia="仿宋_GB2312" w:cs="Times New Roman"/>
          <w:color w:val="auto"/>
          <w:sz w:val="32"/>
          <w:szCs w:val="32"/>
          <w:highlight w:val="none"/>
        </w:rPr>
        <w:t>成昆铁路至中老缅泰铁路横向联络线大姚段建设项目（元谋—大姚—大理），即元大铁路大姚段。积极配合楚雄州内城际铁路建设，预留“永仁—大姚—姚安—南华—楚雄—双柏”城际铁路大姚站点及站场用地。</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高速公路规划。</w:t>
      </w:r>
      <w:r>
        <w:rPr>
          <w:rFonts w:hint="eastAsia" w:ascii="Times New Roman" w:hAnsi="Times New Roman" w:eastAsia="仿宋_GB2312" w:cs="Times New Roman"/>
          <w:color w:val="auto"/>
          <w:sz w:val="32"/>
          <w:szCs w:val="32"/>
          <w:highlight w:val="none"/>
        </w:rPr>
        <w:t>规划形成“两纵两横”的高速公路网结构。</w:t>
      </w:r>
      <w:r>
        <w:rPr>
          <w:rFonts w:hint="eastAsia" w:ascii="楷体" w:hAnsi="楷体" w:eastAsia="楷体" w:cs="楷体"/>
          <w:color w:val="auto"/>
          <w:sz w:val="32"/>
          <w:szCs w:val="32"/>
          <w:highlight w:val="none"/>
        </w:rPr>
        <w:t>两纵：</w:t>
      </w:r>
      <w:r>
        <w:rPr>
          <w:rFonts w:hint="eastAsia" w:ascii="Times New Roman" w:hAnsi="Times New Roman" w:eastAsia="仿宋_GB2312" w:cs="Times New Roman"/>
          <w:color w:val="auto"/>
          <w:sz w:val="32"/>
          <w:szCs w:val="32"/>
          <w:highlight w:val="none"/>
        </w:rPr>
        <w:t>永金高速大姚段、大攀高速大姚段。</w:t>
      </w:r>
      <w:r>
        <w:rPr>
          <w:rFonts w:hint="eastAsia" w:ascii="楷体" w:hAnsi="楷体" w:eastAsia="楷体" w:cs="楷体"/>
          <w:color w:val="auto"/>
          <w:sz w:val="32"/>
          <w:szCs w:val="32"/>
          <w:highlight w:val="none"/>
        </w:rPr>
        <w:t>两横：</w:t>
      </w:r>
      <w:r>
        <w:rPr>
          <w:rFonts w:hint="eastAsia" w:ascii="Times New Roman" w:hAnsi="Times New Roman" w:eastAsia="仿宋_GB2312" w:cs="Times New Roman"/>
          <w:color w:val="auto"/>
          <w:sz w:val="32"/>
          <w:szCs w:val="32"/>
          <w:highlight w:val="none"/>
        </w:rPr>
        <w:t>元谋至大姚（新街）高速大姚段、华坪至永仁高速大姚段。</w:t>
      </w:r>
    </w:p>
    <w:p>
      <w:pPr>
        <w:spacing w:line="560" w:lineRule="exact"/>
        <w:ind w:firstLine="640" w:firstLineChars="200"/>
        <w:rPr>
          <w:color w:val="auto"/>
          <w:highlight w:val="none"/>
        </w:rPr>
      </w:pPr>
      <w:r>
        <w:rPr>
          <w:rFonts w:hint="eastAsia" w:ascii="楷体" w:hAnsi="楷体" w:eastAsia="楷体" w:cs="楷体"/>
          <w:color w:val="auto"/>
          <w:sz w:val="32"/>
          <w:szCs w:val="32"/>
          <w:highlight w:val="none"/>
        </w:rPr>
        <w:t>城乡公路规划。</w:t>
      </w:r>
      <w:r>
        <w:rPr>
          <w:rFonts w:hint="eastAsia" w:ascii="Times New Roman" w:hAnsi="Times New Roman" w:eastAsia="仿宋_GB2312" w:cs="Times New Roman"/>
          <w:color w:val="auto"/>
          <w:sz w:val="32"/>
          <w:szCs w:val="32"/>
          <w:highlight w:val="none"/>
        </w:rPr>
        <w:t>推进国道227线、省道324线、省道224线大姚段提升改造和产业路建设，规划构建以国道、省道、县道瓦湾线等干线路网为骨架的“四纵四横”的县、乡级干线公路网，主要由国道、省道公路和县、乡级公路组成，主要以二级、三级公路为主。全县所有行政村通水泥、沥青等四级公路，部分有条件地区道路采用三级标准；全县自然村通硬化路面。实施以通乡镇三级路和30户以上村组道路硬化为重点的“四好农村路”项目，实施高速公路与乡镇二级、三级公路连接线建设项目，实施农村公路安防工程。</w:t>
      </w:r>
    </w:p>
    <w:p>
      <w:pPr>
        <w:spacing w:line="560" w:lineRule="exact"/>
        <w:ind w:firstLine="640" w:firstLineChars="200"/>
        <w:rPr>
          <w:rFonts w:ascii="楷体" w:hAnsi="楷体" w:eastAsia="楷体" w:cs="楷体"/>
          <w:color w:val="auto"/>
          <w:sz w:val="32"/>
          <w:szCs w:val="32"/>
          <w:highlight w:val="none"/>
        </w:rPr>
      </w:pPr>
      <w:r>
        <w:rPr>
          <w:rFonts w:hint="eastAsia" w:ascii="楷体" w:hAnsi="楷体" w:eastAsia="楷体" w:cs="楷体"/>
          <w:color w:val="auto"/>
          <w:sz w:val="32"/>
          <w:szCs w:val="32"/>
          <w:highlight w:val="none"/>
        </w:rPr>
        <w:t>航运规划。</w:t>
      </w:r>
      <w:r>
        <w:rPr>
          <w:rFonts w:hint="eastAsia" w:ascii="Times New Roman" w:hAnsi="Times New Roman" w:eastAsia="仿宋_GB2312" w:cs="Times New Roman"/>
          <w:color w:val="auto"/>
          <w:sz w:val="32"/>
          <w:szCs w:val="32"/>
          <w:highlight w:val="none"/>
        </w:rPr>
        <w:t>启动金沙江水运航道、湾碧码头、炳海码头、陆家湾停靠点项目建设，争取湾碧跨江大桥建设，完善路、桥等相关配套设施，把湾碧码头建设成为大姚对外开放水陆联运综合交通新节点。</w:t>
      </w:r>
    </w:p>
    <w:p>
      <w:pPr>
        <w:spacing w:line="560" w:lineRule="exact"/>
        <w:ind w:firstLine="640" w:firstLineChars="200"/>
        <w:rPr>
          <w:rFonts w:ascii="楷体" w:hAnsi="楷体" w:eastAsia="楷体" w:cs="楷体"/>
          <w:color w:val="auto"/>
          <w:sz w:val="32"/>
          <w:szCs w:val="32"/>
          <w:highlight w:val="none"/>
        </w:rPr>
      </w:pPr>
      <w:r>
        <w:rPr>
          <w:rFonts w:hint="eastAsia" w:ascii="楷体" w:hAnsi="楷体" w:eastAsia="楷体" w:cs="楷体"/>
          <w:color w:val="auto"/>
          <w:sz w:val="32"/>
          <w:szCs w:val="32"/>
          <w:highlight w:val="none"/>
        </w:rPr>
        <w:t>客运规划。</w:t>
      </w:r>
      <w:r>
        <w:rPr>
          <w:rFonts w:hint="eastAsia" w:ascii="Times New Roman" w:hAnsi="Times New Roman" w:eastAsia="仿宋_GB2312" w:cs="Times New Roman"/>
          <w:color w:val="auto"/>
          <w:sz w:val="32"/>
          <w:szCs w:val="32"/>
          <w:highlight w:val="none"/>
        </w:rPr>
        <w:t>促进城乡客运一体化发展，规划大姚县县域在规划期末共新建5个客运站。金碧镇原有县城客运站重新建设为一级客运站分担原有及未来客运压力；在三岔河、铁锁规划新建2个乡镇客运站，改造或新建金碧、昙华、桂花、石羊、湾碧乡镇客运站；乡镇布局智能立体停车场，县域行政村设立100个行政村招呼站；到2035年，大姚县所有乡镇客运站提级改造为一级或二级客运站。</w:t>
      </w:r>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三、推进交通物流及货运建设</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打造大姚县域综合服务型物流中心。</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打造县城中心物流圈，建设城乡物流网络，形成“一核两心”的物流枢纽格局。</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“一核”：</w:t>
      </w:r>
      <w:r>
        <w:rPr>
          <w:rFonts w:hint="eastAsia" w:ascii="Times New Roman" w:hAnsi="Times New Roman" w:eastAsia="仿宋_GB2312" w:cs="Times New Roman"/>
          <w:color w:val="auto"/>
          <w:sz w:val="32"/>
          <w:szCs w:val="32"/>
          <w:highlight w:val="none"/>
        </w:rPr>
        <w:t>围绕综合交通、产业和城镇，结合县城冷链物流中心建设，在金碧镇设置县级仓储物流中心。</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“两心”：</w:t>
      </w:r>
      <w:r>
        <w:rPr>
          <w:rFonts w:hint="eastAsia" w:ascii="Times New Roman" w:hAnsi="Times New Roman" w:eastAsia="仿宋_GB2312" w:cs="Times New Roman"/>
          <w:color w:val="auto"/>
          <w:sz w:val="32"/>
          <w:szCs w:val="32"/>
          <w:highlight w:val="none"/>
        </w:rPr>
        <w:t>结合三岔河、湾碧物流运输大通道，新建2个货运物流中心站场。</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完成“县—乡（镇）—村（社区）”三级物流体系建设。</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完善乡镇物流服务站和村（社区）物流服务点布设，建设城乡物流高效配送网络。</w:t>
      </w:r>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四、坚持公交优先发展模式</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推进城市公交、城乡公交、镇村公交、旅游公交无缝衔接和融合发展，实现城乡公共交通服务均等化。以“纵深覆盖、公交优先”为导向，基本形成“以城到镇、城到村为主，镇到村、村到村为辅”的大姚县城乡公交客运体系。鼓励以公共交通为导向的城市交通组织模式。倡导公共交通支撑和引导城市发展的规划模式，统筹城市空间布局、土地利用和交通需求，积极推进公共交通枢纽建设。构建绿色高质量的城市公交系统，创新高品质城市公共交通服务。结合人口集聚程度、村民出行习惯、地形地貌条件等因素，因地制宜增补乡村公交设施站点，并在村庄规划中予以明确。</w:t>
      </w:r>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五、新能源基础设施与静态交通规划</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建立与国家机动车发展策略相协调、与用地规划有机结合、与道路及公共交通设施规划高度整合的停车设施系统。分区域、分层次满足新能源、环保型机动车停车需求，合理调整停车供给结构，实现以配建停车为供给主体，以公共停车场为辅，以路内停车作为停车供给的必要补充，针对不同地区实施差异化的配建。对外通道上形成沿楚雄—大姚—永仁高速公路为主轴的公用充电基础设施服务走廊为主体，逐步在县域范围内形成以住宅小区、办公场所自用、专用充电基础设施，形成电动汽车充电服务规划布局。</w:t>
      </w:r>
    </w:p>
    <w:p>
      <w:pPr>
        <w:keepNext/>
        <w:keepLines/>
        <w:numPr>
          <w:ilvl w:val="0"/>
          <w:numId w:val="11"/>
        </w:numPr>
        <w:spacing w:before="78" w:beforeLines="25" w:after="78" w:afterLines="25" w:line="700" w:lineRule="exact"/>
        <w:ind w:left="0" w:firstLine="0"/>
        <w:jc w:val="center"/>
        <w:outlineLvl w:val="1"/>
        <w:rPr>
          <w:rFonts w:ascii="黑体" w:hAnsi="黑体" w:eastAsia="黑体" w:cs="黑体"/>
          <w:b/>
          <w:bCs/>
          <w:color w:val="auto"/>
          <w:sz w:val="32"/>
          <w:szCs w:val="32"/>
          <w:highlight w:val="none"/>
        </w:rPr>
      </w:pPr>
      <w:bookmarkStart w:id="75" w:name="_Toc17161"/>
      <w:r>
        <w:rPr>
          <w:rFonts w:hint="eastAsia" w:ascii="黑体" w:hAnsi="黑体" w:eastAsia="黑体" w:cs="黑体"/>
          <w:b/>
          <w:bCs/>
          <w:color w:val="auto"/>
          <w:sz w:val="32"/>
          <w:szCs w:val="32"/>
          <w:highlight w:val="none"/>
        </w:rPr>
        <w:t>完善城乡公共空间和公共服务体系</w:t>
      </w:r>
      <w:bookmarkEnd w:id="75"/>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一、完善县域公共服务设施体系</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以教育、医疗卫生、文化、体育、社会福利等公益性公共服务设施为重点，构建由城镇和村庄两大部分五个层级组成的城乡基本公共服务设施体系，优化完善设施布局，提升公共服务水平。城镇公共服务设施体系按照“县级—重点镇—一般乡镇”三个等级进行配置；村庄基本公共服务设施按照“中心村—一般村”两个等级进行配置。保障公共服务设施建设空间和用地。</w:t>
      </w:r>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二、优化布局社区及乡村生活圈</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合理构建城市生活圈。分级配置公共活动空间和公共服务设施，建设社区中心、邻里中心、街坊（街区）中心。结合公交站点布置各级基本公共服务设施和公共活动空间，实行集中建设、混合布局、综合使用。</w:t>
      </w:r>
    </w:p>
    <w:p>
      <w:pPr>
        <w:spacing w:line="560" w:lineRule="exact"/>
        <w:ind w:firstLine="640" w:firstLineChars="200"/>
        <w:rPr>
          <w:rFonts w:ascii="Times New Roman" w:hAnsi="Times New Roman" w:eastAsia="仿宋_GB2312" w:cs="Times New Roman"/>
          <w:color w:val="auto"/>
          <w:sz w:val="32"/>
          <w:szCs w:val="32"/>
          <w:highlight w:val="none"/>
          <w:u w:val="single"/>
        </w:rPr>
      </w:pPr>
      <w:r>
        <w:rPr>
          <w:rFonts w:hint="eastAsia" w:ascii="楷体" w:hAnsi="楷体" w:eastAsia="楷体" w:cs="楷体"/>
          <w:color w:val="auto"/>
          <w:sz w:val="32"/>
          <w:szCs w:val="32"/>
          <w:highlight w:val="none"/>
        </w:rPr>
        <w:t>城市级公共服务中心：</w:t>
      </w:r>
      <w:r>
        <w:rPr>
          <w:rFonts w:hint="eastAsia" w:ascii="Times New Roman" w:hAnsi="Times New Roman" w:eastAsia="仿宋_GB2312" w:cs="Times New Roman"/>
          <w:color w:val="auto"/>
          <w:sz w:val="32"/>
          <w:szCs w:val="32"/>
          <w:highlight w:val="none"/>
        </w:rPr>
        <w:t>将大姚县中心城区打造为县级公共服务中心，提供面向大姚县以及周边区域的综合社会公共服务。打造12处乡镇级公共服务中心，分别位于各乡镇。</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社区中心：</w:t>
      </w:r>
      <w:r>
        <w:rPr>
          <w:rFonts w:hint="eastAsia" w:ascii="Times New Roman" w:hAnsi="Times New Roman" w:eastAsia="仿宋_GB2312" w:cs="Times New Roman"/>
          <w:color w:val="auto"/>
          <w:sz w:val="32"/>
          <w:szCs w:val="32"/>
          <w:highlight w:val="none"/>
        </w:rPr>
        <w:t xml:space="preserve">重点优化配置公共交通换乘枢纽、中学、社区卫生服务中心、社区文化活动中心、社区服务中心、全民健身活动中心、养老照料中心等设施，形成15分钟生活圈，服务半径一般为500—1000米，规划服务人口宜为3—5万人左右；每个社区中心建设1个社区服务综合体，满足一站式公共服务的要求，建设生活便利、开放共享、富有凝聚力和归属感的城市社区。 </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邻里中心：</w:t>
      </w:r>
      <w:r>
        <w:rPr>
          <w:rFonts w:hint="eastAsia" w:ascii="Times New Roman" w:hAnsi="Times New Roman" w:eastAsia="仿宋_GB2312" w:cs="Times New Roman"/>
          <w:color w:val="auto"/>
          <w:sz w:val="32"/>
          <w:szCs w:val="32"/>
          <w:highlight w:val="none"/>
        </w:rPr>
        <w:t xml:space="preserve">重点优化配置小学、社区卫生服务站等设施，形成10分钟生活圈，服务半径一般为300—500米，规划服务人口宜为1—1.5万人。 </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街坊（街区）中心：</w:t>
      </w:r>
      <w:r>
        <w:rPr>
          <w:rFonts w:hint="eastAsia" w:ascii="Times New Roman" w:hAnsi="Times New Roman" w:eastAsia="仿宋_GB2312" w:cs="Times New Roman"/>
          <w:color w:val="auto"/>
          <w:sz w:val="32"/>
          <w:szCs w:val="32"/>
          <w:highlight w:val="none"/>
        </w:rPr>
        <w:t>重点优化配置婴幼儿照护服务设施、幼儿园、居委会工作站、社区文化活动站、小型多功能运动场、居家养老（助残）驿站等设施，形成5分钟生活圈，服务半径一般为300米，规划服务人口宜为0.1—0.5万人。</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乡村生活圈：</w:t>
      </w:r>
      <w:r>
        <w:rPr>
          <w:rFonts w:hint="eastAsia" w:ascii="Times New Roman" w:hAnsi="Times New Roman" w:eastAsia="仿宋_GB2312" w:cs="Times New Roman"/>
          <w:color w:val="auto"/>
          <w:sz w:val="32"/>
          <w:szCs w:val="32"/>
          <w:highlight w:val="none"/>
        </w:rPr>
        <w:t>按照《社区生活圈规划技术指南》等要求配置相应设施。各乡村以保障居民基本公共服务，提高日常</w:t>
      </w:r>
    </w:p>
    <w:p>
      <w:pPr>
        <w:spacing w:line="560" w:lineRule="exact"/>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生活便利程度为主。</w:t>
      </w:r>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三、城镇公共服务设施规划</w:t>
      </w:r>
    </w:p>
    <w:p>
      <w:pPr>
        <w:spacing w:line="560" w:lineRule="exact"/>
        <w:ind w:firstLine="640" w:firstLineChars="200"/>
        <w:rPr>
          <w:rFonts w:ascii="Times New Roman" w:hAnsi="Times New Roman" w:eastAsia="仿宋_GB2312" w:cs="Times New Roman"/>
          <w:b/>
          <w:bCs/>
          <w:color w:val="auto"/>
          <w:sz w:val="32"/>
          <w:szCs w:val="32"/>
          <w:highlight w:val="none"/>
        </w:rPr>
      </w:pPr>
      <w:r>
        <w:rPr>
          <w:rFonts w:hint="eastAsia" w:ascii="Times New Roman" w:hAnsi="Times New Roman" w:eastAsia="仿宋_GB2312" w:cs="Times New Roman"/>
          <w:color w:val="auto"/>
          <w:sz w:val="32"/>
          <w:szCs w:val="32"/>
          <w:highlight w:val="none"/>
        </w:rPr>
        <w:t>按照《云南省县（市、区）国土空间总体规划编制技术指南（试行）（调整完善版）》</w:t>
      </w:r>
      <w:r>
        <w:rPr>
          <w:rFonts w:hint="eastAsia" w:ascii="Times New Roman" w:hAnsi="Times New Roman" w:eastAsia="仿宋_GB2312" w:cs="Times New Roman"/>
          <w:color w:val="auto"/>
          <w:sz w:val="32"/>
          <w:szCs w:val="32"/>
          <w:highlight w:val="none"/>
          <w:lang w:val="en-US" w:eastAsia="zh-CN"/>
        </w:rPr>
        <w:t>等</w:t>
      </w:r>
      <w:r>
        <w:rPr>
          <w:rFonts w:hint="eastAsia" w:ascii="Times New Roman" w:hAnsi="Times New Roman" w:eastAsia="仿宋_GB2312" w:cs="Times New Roman"/>
          <w:color w:val="auto"/>
          <w:sz w:val="32"/>
          <w:szCs w:val="32"/>
          <w:highlight w:val="none"/>
        </w:rPr>
        <w:t>公共服务设施配置要求，规划城镇公共服务设施的用地指标、服务人口、人均指标及占地要求等。</w:t>
      </w:r>
    </w:p>
    <w:p>
      <w:pPr>
        <w:spacing w:line="560" w:lineRule="exact"/>
        <w:ind w:firstLine="640" w:firstLineChars="200"/>
        <w:rPr>
          <w:rFonts w:ascii="楷体" w:hAnsi="楷体" w:eastAsia="楷体" w:cs="楷体"/>
          <w:color w:val="auto"/>
          <w:sz w:val="32"/>
          <w:szCs w:val="32"/>
          <w:highlight w:val="none"/>
        </w:rPr>
      </w:pPr>
      <w:r>
        <w:rPr>
          <w:rFonts w:hint="eastAsia" w:ascii="楷体" w:hAnsi="楷体" w:eastAsia="楷体" w:cs="楷体"/>
          <w:color w:val="auto"/>
          <w:sz w:val="32"/>
          <w:szCs w:val="32"/>
          <w:highlight w:val="none"/>
        </w:rPr>
        <w:t>保障性住房。</w:t>
      </w:r>
      <w:r>
        <w:rPr>
          <w:rFonts w:hint="eastAsia" w:ascii="Times New Roman" w:hAnsi="Times New Roman" w:eastAsia="仿宋_GB2312" w:cs="Times New Roman"/>
          <w:color w:val="auto"/>
          <w:sz w:val="32"/>
          <w:szCs w:val="32"/>
          <w:highlight w:val="none"/>
        </w:rPr>
        <w:t>坚持保障和改善民生优先导向，建立多元化的住房保障体系，满足各类人群的差异化居住需求，优化居住用地布局，</w:t>
      </w:r>
      <w:r>
        <w:rPr>
          <w:rFonts w:hint="eastAsia" w:ascii="Times New Roman" w:hAnsi="Times New Roman" w:eastAsia="仿宋_GB2312" w:cs="Times New Roman"/>
          <w:color w:val="auto"/>
          <w:sz w:val="32"/>
          <w:szCs w:val="32"/>
          <w:highlight w:val="none"/>
          <w:u w:val="none"/>
        </w:rPr>
        <w:t>保障公共租赁住房、保障性租赁住房等保障性住房的建设空间，</w:t>
      </w:r>
      <w:r>
        <w:rPr>
          <w:rFonts w:hint="eastAsia" w:ascii="Times New Roman" w:hAnsi="Times New Roman" w:eastAsia="仿宋_GB2312" w:cs="Times New Roman"/>
          <w:color w:val="auto"/>
          <w:sz w:val="32"/>
          <w:szCs w:val="32"/>
          <w:highlight w:val="none"/>
        </w:rPr>
        <w:t>进一步扩大住房保障覆盖面。</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医疗卫生设施。</w:t>
      </w:r>
      <w:r>
        <w:rPr>
          <w:rFonts w:hint="eastAsia" w:ascii="Times New Roman" w:hAnsi="Times New Roman" w:eastAsia="仿宋_GB2312" w:cs="Times New Roman"/>
          <w:color w:val="auto"/>
          <w:sz w:val="32"/>
          <w:szCs w:val="32"/>
          <w:highlight w:val="none"/>
        </w:rPr>
        <w:t>建设以县级医疗卫生机构为骨干，乡镇卫生院（社区卫生服务中心）、村卫生室为网底，民营医疗机构为补充的医疗卫生服务新体系。</w:t>
      </w:r>
      <w:r>
        <w:rPr>
          <w:rFonts w:hint="eastAsia" w:ascii="Times New Roman" w:hAnsi="Times New Roman" w:eastAsia="仿宋_GB2312" w:cs="Times New Roman"/>
          <w:color w:val="auto"/>
          <w:sz w:val="32"/>
          <w:szCs w:val="32"/>
          <w:highlight w:val="none"/>
          <w:u w:val="none"/>
        </w:rPr>
        <w:t>促进大姚县基本医疗和公共卫生服务均衡发展，保障县、乡镇、村三级医疗卫生设施建设空间。中心城区内完善县级医疗卫生设施和急救设施，在金碧镇规划1处县传染病医院，重点镇设立国家推荐标准的中心卫生院、综合医院分院等医疗设施。一般乡镇设立云南省甲级标准卫生院。现有卫生院结合需求进行改扩建。</w:t>
      </w:r>
      <w:r>
        <w:rPr>
          <w:rFonts w:hint="eastAsia" w:ascii="Times New Roman" w:hAnsi="Times New Roman" w:eastAsia="仿宋_GB2312" w:cs="Times New Roman"/>
          <w:color w:val="auto"/>
          <w:sz w:val="32"/>
          <w:szCs w:val="32"/>
          <w:highlight w:val="none"/>
        </w:rPr>
        <w:t>到2035年，全县医疗机构规模达到7.5床位/千人的水平。</w:t>
      </w:r>
    </w:p>
    <w:p>
      <w:pPr>
        <w:spacing w:line="560" w:lineRule="exact"/>
        <w:ind w:firstLine="640" w:firstLineChars="200"/>
        <w:rPr>
          <w:color w:val="auto"/>
          <w:highlight w:val="none"/>
        </w:rPr>
      </w:pPr>
      <w:r>
        <w:rPr>
          <w:rFonts w:hint="eastAsia" w:ascii="楷体" w:hAnsi="楷体" w:eastAsia="楷体" w:cs="楷体"/>
          <w:color w:val="auto"/>
          <w:sz w:val="32"/>
          <w:szCs w:val="32"/>
          <w:highlight w:val="none"/>
        </w:rPr>
        <w:t>教育科研设施。</w:t>
      </w:r>
      <w:r>
        <w:rPr>
          <w:rFonts w:hint="eastAsia" w:ascii="Times New Roman" w:hAnsi="Times New Roman" w:eastAsia="仿宋_GB2312" w:cs="Times New Roman"/>
          <w:color w:val="auto"/>
          <w:sz w:val="32"/>
          <w:szCs w:val="32"/>
          <w:highlight w:val="none"/>
          <w:u w:val="none"/>
        </w:rPr>
        <w:t>县域内设置2处普通高中。规划近期设置2处普通高中、1处职业学校和1处特殊教育学校，均位于城区内；规划远期结合产业发展特色，设置高等职业教育学校。各镇区根据发展及人口流动情况完善义务教育学校布局，统筹布局初级中学、小学及幼儿园建设，预留足够的义务教育学校用地。补齐城镇和农村学前教育短板，保障学前教育建设空间，加大普惠性幼儿园发展。</w:t>
      </w:r>
      <w:r>
        <w:rPr>
          <w:rFonts w:hint="eastAsia" w:ascii="Times New Roman" w:hAnsi="Times New Roman" w:eastAsia="仿宋_GB2312" w:cs="Times New Roman"/>
          <w:color w:val="auto"/>
          <w:sz w:val="32"/>
          <w:szCs w:val="32"/>
          <w:highlight w:val="none"/>
        </w:rPr>
        <w:t>保障每千人口拥有3岁以下婴幼儿托位数不低于4.5个的用地空间需求。</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公共文化体育设施。</w:t>
      </w:r>
      <w:r>
        <w:rPr>
          <w:rFonts w:hint="eastAsia" w:ascii="Times New Roman" w:hAnsi="Times New Roman" w:eastAsia="仿宋_GB2312" w:cs="Times New Roman"/>
          <w:color w:val="auto"/>
          <w:sz w:val="32"/>
          <w:szCs w:val="32"/>
          <w:highlight w:val="none"/>
          <w:u w:val="none"/>
        </w:rPr>
        <w:t>县级文化设施主要包括图书馆、文化馆、博物馆、文化活动中心、青少年活动中心等。各镇区逐步完善文化设施，每个镇区至少配置1处综合文化站，并配置室外文体广场。重点镇可配置展览馆等文化设施，同时服务周边区域。新增县级体育设施在中心城区东侧布局，重点镇镇区配置体育场所、灯光球场和室内外体育活动设施。一般乡镇建设1个中型或小型的健身活动中心和活动健身广场，</w:t>
      </w:r>
      <w:r>
        <w:rPr>
          <w:rFonts w:hint="eastAsia" w:ascii="Times New Roman" w:hAnsi="Times New Roman" w:eastAsia="仿宋_GB2312" w:cs="Times New Roman"/>
          <w:color w:val="auto"/>
          <w:sz w:val="32"/>
          <w:szCs w:val="32"/>
          <w:highlight w:val="none"/>
        </w:rPr>
        <w:t>可单独设置，也可与公园绿地等结合设置。</w:t>
      </w:r>
    </w:p>
    <w:p>
      <w:pPr>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社会福利设施。</w:t>
      </w:r>
      <w:r>
        <w:rPr>
          <w:rFonts w:hint="eastAsia" w:ascii="Times New Roman" w:hAnsi="Times New Roman" w:eastAsia="仿宋_GB2312" w:cs="Times New Roman"/>
          <w:color w:val="auto"/>
          <w:sz w:val="32"/>
          <w:szCs w:val="32"/>
          <w:highlight w:val="none"/>
          <w:u w:val="none"/>
        </w:rPr>
        <w:t>按照人均用地不少于0.1平方米的标准，分区分级规划设置社区养老服务设施。加强县级残疾人康复中心、敬老院和养老院等建设，各镇均应设置有综合服务功能的区域性养老服务中心不低于1处。新建住宅小区应按照每百户不少于20平方米建筑面积配建社区居家养老服务设施用房，且单处用房面积不得少于300平方米。保障县殡仪服务设施以及城市公益性公墓建设空间，每个乡镇至少保障1处公益性公墓的建设空间，</w:t>
      </w:r>
      <w:r>
        <w:rPr>
          <w:rFonts w:hint="eastAsia" w:ascii="Times New Roman" w:hAnsi="Times New Roman" w:eastAsia="仿宋_GB2312" w:cs="Times New Roman"/>
          <w:color w:val="auto"/>
          <w:sz w:val="32"/>
          <w:szCs w:val="32"/>
          <w:highlight w:val="none"/>
        </w:rPr>
        <w:t>鼓励邻近共建共享。推动无障碍基础设施与辅助设施建设。</w:t>
      </w:r>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四、村庄公共服务设施规划</w:t>
      </w:r>
    </w:p>
    <w:p>
      <w:pPr>
        <w:spacing w:line="560" w:lineRule="exact"/>
        <w:ind w:firstLine="640" w:firstLineChars="200"/>
        <w:rPr>
          <w:rFonts w:ascii="宋体" w:hAnsi="宋体" w:eastAsia="宋体"/>
          <w:b/>
          <w:bCs/>
          <w:color w:val="auto"/>
          <w:sz w:val="30"/>
          <w:szCs w:val="30"/>
          <w:highlight w:val="none"/>
        </w:rPr>
      </w:pPr>
      <w:r>
        <w:rPr>
          <w:rFonts w:hint="eastAsia" w:ascii="Times New Roman" w:hAnsi="Times New Roman" w:eastAsia="仿宋_GB2312" w:cs="Times New Roman"/>
          <w:color w:val="auto"/>
          <w:sz w:val="32"/>
          <w:szCs w:val="32"/>
          <w:highlight w:val="none"/>
        </w:rPr>
        <w:t>农村设施配置在符合以下要求的基础上，还应统筹结合村庄类型、村庄人口流入流出等进行综合考虑。</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农村社会管理设施。</w:t>
      </w:r>
      <w:r>
        <w:rPr>
          <w:rFonts w:hint="eastAsia" w:ascii="Times New Roman" w:hAnsi="Times New Roman" w:eastAsia="仿宋_GB2312" w:cs="Times New Roman"/>
          <w:color w:val="auto"/>
          <w:sz w:val="32"/>
          <w:szCs w:val="32"/>
          <w:highlight w:val="none"/>
        </w:rPr>
        <w:t>中心村应设置村委会和警务室，一般村应设置村委会等设施。</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医疗卫生设施。</w:t>
      </w:r>
      <w:r>
        <w:rPr>
          <w:rFonts w:hint="eastAsia" w:ascii="Times New Roman" w:hAnsi="Times New Roman" w:eastAsia="仿宋_GB2312" w:cs="Times New Roman"/>
          <w:color w:val="auto"/>
          <w:sz w:val="32"/>
          <w:szCs w:val="32"/>
          <w:highlight w:val="none"/>
        </w:rPr>
        <w:t>中心村应配置村卫生室，偏远的一般村建议配置村卫生室。</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教育设施。</w:t>
      </w:r>
      <w:r>
        <w:rPr>
          <w:rFonts w:hint="eastAsia" w:ascii="Times New Roman" w:hAnsi="Times New Roman" w:eastAsia="仿宋_GB2312" w:cs="Times New Roman"/>
          <w:color w:val="auto"/>
          <w:sz w:val="32"/>
          <w:szCs w:val="32"/>
          <w:highlight w:val="none"/>
        </w:rPr>
        <w:t>中心村应配置1所幼儿园，人口较多的中心村建议配置小学或教学点，一般村可根据实际需要配置教学点和幼儿园。注意考虑人口流动变化趋势统筹设施配置。</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文化体育设施。</w:t>
      </w:r>
      <w:r>
        <w:rPr>
          <w:rFonts w:hint="eastAsia" w:ascii="Times New Roman" w:hAnsi="Times New Roman" w:eastAsia="仿宋_GB2312" w:cs="Times New Roman"/>
          <w:color w:val="auto"/>
          <w:sz w:val="32"/>
          <w:szCs w:val="32"/>
          <w:highlight w:val="none"/>
        </w:rPr>
        <w:t>中心村可集中新建文化设施，如互联网信息服务站、图书阅览室和农业产业化及农业职业教育培训服务站等设施。一般村应配置文化活动室和户外体育运动场地，其它文体设施根据村民的日常生活需求进行配建。</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社会福利设施。</w:t>
      </w:r>
      <w:r>
        <w:rPr>
          <w:rFonts w:hint="eastAsia" w:ascii="Times New Roman" w:hAnsi="Times New Roman" w:eastAsia="仿宋_GB2312" w:cs="Times New Roman"/>
          <w:color w:val="auto"/>
          <w:sz w:val="32"/>
          <w:szCs w:val="32"/>
          <w:highlight w:val="none"/>
        </w:rPr>
        <w:t>规划中心村设置幸福院和日间照料中心1处。一般村按照实际需求配设幸福院和日间照料中心。</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商业金融设施和集贸市场。</w:t>
      </w:r>
      <w:r>
        <w:rPr>
          <w:rFonts w:hint="eastAsia" w:ascii="Times New Roman" w:hAnsi="Times New Roman" w:eastAsia="仿宋_GB2312" w:cs="Times New Roman"/>
          <w:color w:val="auto"/>
          <w:sz w:val="32"/>
          <w:szCs w:val="32"/>
          <w:highlight w:val="none"/>
        </w:rPr>
        <w:t>中心村集中设置商业金融设施，引导村庄内分散的专业市场向镇区和中心村集中。中心村应设农贸市场、餐饮店、便民超市和邮政所，一般村按照规模及需求适当配置商业金融设施。</w:t>
      </w:r>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五、特色旅游服务设施规划</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保障大姚旅游基础设施配套。打通主要景区的旅游专线、景区之间连接公路和旅游环线断头路，有效解决旅游交通“最后一公里”末端衔接问题；积极推动高速公路与旅游度假区、旅游景区景点、旅游特色村的联络线建设。结合游客接待中心、旅游住宿等配套，加快旅游线路沿线游客休息站、观景平台、旅游厕所、汽车租赁网点、应急救援站、旅游公共标识、自驾营地等配套公共服务设施建设。</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提高大姚旅游数字化、智能化服务能力和水平，建设旅游综合管理平台。加快实现主要旅游目的地、重点旅游集散地、主要涉旅场所5G网络、WIFI全覆盖。</w:t>
      </w:r>
    </w:p>
    <w:p>
      <w:pPr>
        <w:keepNext/>
        <w:keepLines/>
        <w:numPr>
          <w:ilvl w:val="0"/>
          <w:numId w:val="11"/>
        </w:numPr>
        <w:spacing w:before="78" w:beforeLines="25" w:after="78" w:afterLines="25" w:line="700" w:lineRule="exact"/>
        <w:ind w:left="0" w:firstLine="0"/>
        <w:jc w:val="center"/>
        <w:outlineLvl w:val="1"/>
        <w:rPr>
          <w:rFonts w:ascii="黑体" w:hAnsi="黑体" w:eastAsia="黑体" w:cs="黑体"/>
          <w:b/>
          <w:bCs/>
          <w:color w:val="auto"/>
          <w:sz w:val="32"/>
          <w:szCs w:val="32"/>
          <w:highlight w:val="none"/>
        </w:rPr>
      </w:pPr>
      <w:bookmarkStart w:id="76" w:name="_Toc20646"/>
      <w:r>
        <w:rPr>
          <w:rFonts w:hint="eastAsia" w:ascii="黑体" w:hAnsi="黑体" w:eastAsia="黑体" w:cs="黑体"/>
          <w:b/>
          <w:bCs/>
          <w:color w:val="auto"/>
          <w:sz w:val="32"/>
          <w:szCs w:val="32"/>
          <w:highlight w:val="none"/>
        </w:rPr>
        <w:t>促进城乡基础设施体系建设</w:t>
      </w:r>
      <w:bookmarkEnd w:id="76"/>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一、县域给水工程规划</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供水规划。</w:t>
      </w:r>
      <w:r>
        <w:rPr>
          <w:rFonts w:hint="eastAsia" w:ascii="Times New Roman" w:hAnsi="Times New Roman" w:eastAsia="仿宋_GB2312" w:cs="Times New Roman"/>
          <w:color w:val="auto"/>
          <w:sz w:val="32"/>
          <w:szCs w:val="32"/>
          <w:highlight w:val="none"/>
        </w:rPr>
        <w:t>到2035年，供水普及率达到100％，全县规划水厂共8座，供水量不超过1000吨/日的规模较小的乡镇采用一体化净水装置处理，保证出水水质满足饮用水水质标准；确保输水管线的安全和运行稳定性，加快提高配水管线的覆盖率，总体提高供水保证率。推进将军山净水厂扩建。</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加强农村饮水安全工程建设，解决严重缺水、水质不达标等问题，推进自来水村村通、农村集中供水工程建设，提高农村自来水普及率。</w:t>
      </w:r>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二、县域排水工程规划</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污水规划。</w:t>
      </w:r>
      <w:r>
        <w:rPr>
          <w:rFonts w:hint="eastAsia" w:ascii="Times New Roman" w:hAnsi="Times New Roman" w:eastAsia="仿宋_GB2312" w:cs="Times New Roman"/>
          <w:color w:val="auto"/>
          <w:sz w:val="32"/>
          <w:szCs w:val="32"/>
          <w:highlight w:val="none"/>
        </w:rPr>
        <w:t>规划保留污水处理厂，各乡镇保留小型污水处理厂（站），村庄设置氧化塘、生态湿地、沼气化粪池等简易污水处理设施。扩容大姚县城污水处理厂，远期新建污水处理厂1座；新建龙街镇、三台乡等污水处理设施以及村庄简易污水处理设施，完善管网等配套设施建设。实现12个乡镇镇区污水处理厂（站）全覆盖，规划远期基本实现城镇生活污水全处理、全达标，饮用水水源地周边村庄生活污水处理设施覆盖率达到100%，基本消除农村黑臭水体。</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雨水规划。</w:t>
      </w:r>
      <w:r>
        <w:rPr>
          <w:rFonts w:hint="eastAsia" w:ascii="Times New Roman" w:hAnsi="Times New Roman" w:eastAsia="仿宋_GB2312" w:cs="Times New Roman"/>
          <w:color w:val="auto"/>
          <w:sz w:val="32"/>
          <w:szCs w:val="32"/>
          <w:highlight w:val="none"/>
        </w:rPr>
        <w:t>结合乡镇地形、水系和已有排水系统，布局当地排水管渠。充分考虑与当地防洪、排涝设施衔接，雨水就近、分散、自流排入下游水系或河流，确保排水通畅，雨季不淹水。推进绿色生态城区和“海绵城市”建设。</w:t>
      </w:r>
    </w:p>
    <w:p>
      <w:pPr>
        <w:keepNext/>
        <w:keepLines/>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排水体制。</w:t>
      </w:r>
      <w:r>
        <w:rPr>
          <w:rFonts w:hint="eastAsia" w:ascii="Times New Roman" w:hAnsi="Times New Roman" w:eastAsia="仿宋_GB2312" w:cs="Times New Roman"/>
          <w:color w:val="auto"/>
          <w:sz w:val="32"/>
          <w:szCs w:val="32"/>
          <w:highlight w:val="none"/>
        </w:rPr>
        <w:t>新建地区采用雨污分流制。现状采用雨污合流的，结合城市建设与城市更新，加快雨污分流改造。暂时不具备改造条件的，加大截流倍数。对于雨污分流地区，根据初期雨水污染控制的要求，采取截流措施，将截流的初期雨水进行达标处理。</w:t>
      </w:r>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三、县域电力工程规划</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推进智能电网建设，优化完善城乡配电网网架结构，全面提升大姚地区网架水平，提高线路联络率和标准化率，解决局部区域供电能力不足及负荷发展需求的问题。优先进行风电、光伏发电、水电等发电输出线路改造，提升电力输出能力。加强电网设施建设，打造跨区域电力交换枢纽。</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电源电网规划。</w:t>
      </w:r>
      <w:r>
        <w:rPr>
          <w:rFonts w:hint="eastAsia" w:ascii="Times New Roman" w:hAnsi="Times New Roman" w:eastAsia="仿宋_GB2312" w:cs="Times New Roman"/>
          <w:color w:val="auto"/>
          <w:sz w:val="32"/>
          <w:szCs w:val="32"/>
          <w:highlight w:val="none"/>
        </w:rPr>
        <w:t>新建220kV光禄（南山坝）输变电工程；新建110kV桂花变电站，增容改造110kV大姚变电站；新建铁锁变、赵家店变、大桥简易变3座35kV变电站项目；完成湾碧变、碧么变、南山坝变3座35kV变电站扩建；增容改造龙街变、三岔河变、仓街变3座变电站；完成35kV北城变-35kV北碧线57号塔线路、35kV碧桂线30#-57#杆塔线路改造工程。基本形成以地方骨干电源为支撑的双回链式、环状结构网架，各分区之间通过联络线路具备事故支援能力；推进农村电网改造升级，新建及改造10kV线路和配变设施。</w:t>
      </w:r>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四、县域通信工程规划</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信息基础建设显著加强，构建共享高效的信息网，打造“智慧大姚”、“无线城市”和“宽带乡村”，完成三网融合。加强以光缆为主，数字微波和卫星通信为辅的中继网络的建设，建成快速便捷的通讯网；建设以数字程控交换为主体的城乡综合通信网；呈现出云计算、大数据、物联网、工业互联网等新一代信息技术全面融入大姚发展的新格局。加强4G网络补短板和提升5G网络覆盖程度，建设以5G网络为基础的新一代信息基础设施，全县家庭宽带通达率达100%、无线宽带网络覆盖率达100%。</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县城设置电信汇接局，建制镇和一般乡镇设置电信端局；县城设置一等邮政局，建制镇和一般乡镇设置邮政支局，农村地区设置邮政代办点。</w:t>
      </w:r>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五、县域燃气工程规划</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优化能源结构，有效扩大天然气使用规模，做好天然气设施建设，逐步扩大燃气管网规模，使天然气资源在大姚县的利用与国民经济和社会发展长远规划相一致。推进燃气下乡，改善乡镇、农村地区生产生活条件。到2035年，大姚县形成以中缅管道天然气为主气源，液化石油气作为辅助补充气源（在天然气难以到达的地区作为气源）的发展布局，适时推进应急调峰气源；近期县城用气采用楚雄CNG母站气源，县城以CNG卸气站和常规子站，为城区用户及CNG汽车用户供气；远期采用中缅天然气管道支线气源，建设门站及常规加气站为城区各类用户供气；采用LNG作为县城应急气源。</w:t>
      </w:r>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六、县域环卫工程规划</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环卫设施规划。</w:t>
      </w:r>
      <w:r>
        <w:rPr>
          <w:rFonts w:hint="eastAsia" w:ascii="Times New Roman" w:hAnsi="Times New Roman" w:eastAsia="仿宋_GB2312" w:cs="Times New Roman"/>
          <w:color w:val="auto"/>
          <w:sz w:val="32"/>
          <w:szCs w:val="32"/>
          <w:highlight w:val="none"/>
        </w:rPr>
        <w:t>实现城乡垃圾减量化、无害化、资源化，规划保留现有城市生活垃圾处理厂，乡镇统筹建设垃圾处理厂，农村因地制宜设置垃圾处理设施，完善垃圾转运站及收运系统建设，积极开展城市建筑垃圾回收综合利用。</w:t>
      </w:r>
    </w:p>
    <w:p>
      <w:pPr>
        <w:spacing w:line="560" w:lineRule="exact"/>
        <w:ind w:firstLine="640" w:firstLineChars="200"/>
        <w:rPr>
          <w:color w:val="auto"/>
          <w:highlight w:val="none"/>
        </w:rPr>
      </w:pPr>
      <w:r>
        <w:rPr>
          <w:rFonts w:hint="eastAsia" w:ascii="楷体" w:hAnsi="楷体" w:eastAsia="楷体" w:cs="楷体"/>
          <w:color w:val="auto"/>
          <w:sz w:val="32"/>
          <w:szCs w:val="32"/>
          <w:highlight w:val="none"/>
        </w:rPr>
        <w:t>垃圾处理方式。</w:t>
      </w:r>
      <w:r>
        <w:rPr>
          <w:rFonts w:hint="eastAsia" w:ascii="Times New Roman" w:hAnsi="Times New Roman" w:eastAsia="仿宋_GB2312" w:cs="Times New Roman"/>
          <w:color w:val="auto"/>
          <w:sz w:val="32"/>
          <w:szCs w:val="32"/>
          <w:highlight w:val="none"/>
        </w:rPr>
        <w:t>中心城区生活垃圾运输至垃圾处理厂进行无害化处理，后期逐步转运至县生活垃圾焚烧发电厂处理；建筑垃圾按照综合利用、减量化的原则，采取多种方式进行消纳；工业垃圾由企业自行收集处理，接受有关部门的监督管理。乡镇区垃圾逐步实现集中收集转运至乡镇垃圾处理厂或垃圾热溶解处理场集中处理；农村垃圾采用“户集、村收”的形式因地制宜处理，加强农村垃圾的集中收集和转运处理力度。</w:t>
      </w:r>
    </w:p>
    <w:p>
      <w:pPr>
        <w:keepNext/>
        <w:keepLines/>
        <w:numPr>
          <w:ilvl w:val="0"/>
          <w:numId w:val="11"/>
        </w:numPr>
        <w:spacing w:before="78" w:beforeLines="25" w:after="78" w:afterLines="25" w:line="700" w:lineRule="exact"/>
        <w:ind w:left="0" w:firstLine="0"/>
        <w:jc w:val="center"/>
        <w:outlineLvl w:val="1"/>
        <w:rPr>
          <w:rFonts w:ascii="黑体" w:hAnsi="黑体" w:eastAsia="黑体" w:cs="黑体"/>
          <w:b/>
          <w:bCs/>
          <w:color w:val="auto"/>
          <w:sz w:val="32"/>
          <w:szCs w:val="32"/>
          <w:highlight w:val="none"/>
        </w:rPr>
      </w:pPr>
      <w:bookmarkStart w:id="77" w:name="_Toc17091"/>
      <w:r>
        <w:rPr>
          <w:rFonts w:hint="eastAsia" w:ascii="黑体" w:hAnsi="黑体" w:eastAsia="黑体" w:cs="黑体"/>
          <w:b/>
          <w:bCs/>
          <w:color w:val="auto"/>
          <w:sz w:val="32"/>
          <w:szCs w:val="32"/>
          <w:highlight w:val="none"/>
        </w:rPr>
        <w:t>增强城乡安全韧性</w:t>
      </w:r>
      <w:bookmarkEnd w:id="77"/>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一、城乡安全韧性发展目标</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规划末期，建成大姚县综合防灾减灾体系，综合防灾减灾能力得到全面提升，城市具备综合抗御抗震设防烈度为7度地震的能力；新建城乡建筑应严格按抗震设防要求标准设计，现有抗震能力不达标的建筑应进行抗震加固；全面消除已发现的地质灾害重大隐患点。</w:t>
      </w:r>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二、地质灾害防治规划</w:t>
      </w:r>
    </w:p>
    <w:p>
      <w:pPr>
        <w:spacing w:line="560" w:lineRule="exact"/>
        <w:ind w:firstLine="640" w:firstLineChars="200"/>
        <w:rPr>
          <w:rFonts w:ascii="Times New Roman" w:hAnsi="Times New Roman" w:eastAsia="仿宋_GB2312" w:cs="Times New Roman"/>
          <w:iCs/>
          <w:color w:val="auto"/>
          <w:sz w:val="32"/>
          <w:szCs w:val="32"/>
          <w:highlight w:val="none"/>
        </w:rPr>
      </w:pPr>
      <w:r>
        <w:rPr>
          <w:rFonts w:hint="eastAsia" w:ascii="Times New Roman" w:hAnsi="Times New Roman" w:eastAsia="仿宋_GB2312" w:cs="Times New Roman"/>
          <w:iCs/>
          <w:color w:val="auto"/>
          <w:sz w:val="32"/>
          <w:szCs w:val="32"/>
          <w:highlight w:val="none"/>
        </w:rPr>
        <w:t>将大姚县人口集中居住区、风景名胜区、大中型工矿企业所在地和交通干线、重点水利电力工程等基础设施作为地质灾害重点防治区中的防护重点，对规划区进行地质灾害危险性评估；有效防治地质灾害，健全地质灾害防治系统，提高地质灾害监测预报预警、应急救灾能力和防治水平，最大限度地避免和减轻地质灾害造成的人员伤亡和财产损失。</w:t>
      </w:r>
      <w:r>
        <w:rPr>
          <w:rFonts w:ascii="Times New Roman" w:hAnsi="Times New Roman" w:eastAsia="仿宋_GB2312" w:cs="Times New Roman"/>
          <w:iCs/>
          <w:color w:val="auto"/>
          <w:sz w:val="32"/>
          <w:szCs w:val="32"/>
          <w:highlight w:val="none"/>
        </w:rPr>
        <w:t>加强防汛抗旱、防震减灾、</w:t>
      </w:r>
      <w:r>
        <w:rPr>
          <w:rFonts w:hint="eastAsia" w:ascii="Times New Roman" w:hAnsi="Times New Roman" w:eastAsia="仿宋_GB2312" w:cs="Times New Roman"/>
          <w:iCs/>
          <w:color w:val="auto"/>
          <w:sz w:val="32"/>
          <w:szCs w:val="32"/>
          <w:highlight w:val="none"/>
        </w:rPr>
        <w:t>地质灾害、干旱洪涝、气象灾害等防灾减灾工程建设，提高</w:t>
      </w:r>
      <w:r>
        <w:rPr>
          <w:rFonts w:ascii="Times New Roman" w:hAnsi="Times New Roman" w:eastAsia="仿宋_GB2312" w:cs="Times New Roman"/>
          <w:iCs/>
          <w:color w:val="auto"/>
          <w:sz w:val="32"/>
          <w:szCs w:val="32"/>
          <w:highlight w:val="none"/>
        </w:rPr>
        <w:t>自然灾害工程防御能力。</w:t>
      </w:r>
      <w:r>
        <w:rPr>
          <w:rFonts w:hint="eastAsia" w:ascii="Times New Roman" w:hAnsi="Times New Roman" w:eastAsia="仿宋_GB2312" w:cs="Times New Roman"/>
          <w:iCs/>
          <w:color w:val="auto"/>
          <w:sz w:val="32"/>
          <w:szCs w:val="32"/>
          <w:highlight w:val="none"/>
        </w:rPr>
        <w:t>将大姚县地质灾害防治区划分为重点防治区、次重点防治区和一般防治区三级。开展山洪、地质灾害避险搬迁。</w:t>
      </w:r>
    </w:p>
    <w:p>
      <w:pPr>
        <w:pStyle w:val="4"/>
        <w:keepNext w:val="0"/>
        <w:keepLines w:val="0"/>
        <w:pageBreakBefore w:val="0"/>
        <w:widowControl w:val="0"/>
        <w:numPr>
          <w:ilvl w:val="2"/>
          <w:numId w:val="0"/>
        </w:numPr>
        <w:kinsoku/>
        <w:wordWrap/>
        <w:overflowPunct/>
        <w:topLinePunct w:val="0"/>
        <w:autoSpaceDE/>
        <w:autoSpaceDN/>
        <w:bidi w:val="0"/>
        <w:adjustRightInd/>
        <w:snapToGrid/>
        <w:spacing w:before="0" w:after="0" w:line="560" w:lineRule="exact"/>
        <w:ind w:firstLine="640" w:firstLineChars="200"/>
        <w:textAlignment w:val="auto"/>
        <w:rPr>
          <w:rFonts w:ascii="Times New Roman" w:hAnsi="Times New Roman" w:eastAsia="仿宋_GB2312" w:cs="Times New Roman"/>
          <w:iCs/>
          <w:color w:val="auto"/>
          <w:highlight w:val="none"/>
        </w:rPr>
      </w:pPr>
      <w:r>
        <w:rPr>
          <w:rFonts w:hint="eastAsia" w:ascii="黑体" w:hAnsi="黑体" w:eastAsia="黑体" w:cs="黑体"/>
          <w:b w:val="0"/>
          <w:bCs w:val="0"/>
          <w:color w:val="auto"/>
          <w:highlight w:val="none"/>
        </w:rPr>
        <w:t>三、抗震减灾规划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iCs/>
          <w:color w:val="auto"/>
          <w:sz w:val="32"/>
          <w:szCs w:val="32"/>
          <w:highlight w:val="none"/>
        </w:rPr>
      </w:pPr>
      <w:r>
        <w:rPr>
          <w:rFonts w:hint="eastAsia" w:ascii="Times New Roman" w:hAnsi="Times New Roman" w:eastAsia="仿宋_GB2312" w:cs="Times New Roman"/>
          <w:iCs/>
          <w:color w:val="auto"/>
          <w:sz w:val="32"/>
          <w:szCs w:val="32"/>
          <w:highlight w:val="none"/>
          <w:u w:val="none"/>
        </w:rPr>
        <w:t>根据《中国地震动参数区划图》（GB18306—2015）和《云南省各地抗震设防烈度表》，大姚县中心城区、各乡镇抗震设防烈度为7度，城市生命线系统和重要基础设施提高1个设防等级。</w:t>
      </w:r>
      <w:r>
        <w:rPr>
          <w:rFonts w:hint="eastAsia" w:ascii="Times New Roman" w:hAnsi="Times New Roman" w:eastAsia="仿宋_GB2312" w:cs="Times New Roman"/>
          <w:iCs/>
          <w:color w:val="auto"/>
          <w:sz w:val="32"/>
          <w:szCs w:val="32"/>
          <w:highlight w:val="none"/>
        </w:rPr>
        <w:t>新建建设工程或项目严格按照国家和省相应规范标准避让活动断裂带。加强地震灾害风险评估和地震预警。</w:t>
      </w:r>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四、防洪工程规划</w:t>
      </w:r>
    </w:p>
    <w:p>
      <w:pPr>
        <w:spacing w:line="560" w:lineRule="exact"/>
        <w:ind w:firstLine="640" w:firstLineChars="200"/>
        <w:rPr>
          <w:rFonts w:ascii="Times New Roman" w:hAnsi="Times New Roman" w:eastAsia="仿宋_GB2312" w:cs="Times New Roman"/>
          <w:iCs/>
          <w:color w:val="auto"/>
          <w:sz w:val="32"/>
          <w:szCs w:val="32"/>
          <w:highlight w:val="none"/>
        </w:rPr>
      </w:pPr>
      <w:r>
        <w:rPr>
          <w:rFonts w:hint="eastAsia" w:ascii="Times New Roman" w:hAnsi="Times New Roman" w:eastAsia="仿宋_GB2312" w:cs="Times New Roman"/>
          <w:iCs/>
          <w:color w:val="auto"/>
          <w:sz w:val="32"/>
          <w:szCs w:val="32"/>
          <w:highlight w:val="none"/>
        </w:rPr>
        <w:t>实行工程措施和非工程措施相结合，生态环境治理与水土保持相结合，全面规划，综合治理，因势利导，稳定流向，对河道截变取直、挖河筑堤，砌石护岸，最大程度预防山洪及河流、洪灾的发生。</w:t>
      </w:r>
      <w:r>
        <w:rPr>
          <w:rFonts w:hint="eastAsia" w:ascii="Times New Roman" w:hAnsi="Times New Roman" w:eastAsia="仿宋_GB2312" w:cs="Times New Roman"/>
          <w:iCs/>
          <w:color w:val="auto"/>
          <w:sz w:val="32"/>
          <w:szCs w:val="32"/>
          <w:highlight w:val="none"/>
          <w:u w:val="none"/>
        </w:rPr>
        <w:t>县城中心城区防洪标准不低于20年一遇，其它城镇防洪标准不低于20年一遇。内涝防治设计重现期不低于20年。</w:t>
      </w:r>
      <w:r>
        <w:rPr>
          <w:rFonts w:hint="eastAsia" w:ascii="Times New Roman" w:hAnsi="Times New Roman" w:eastAsia="仿宋_GB2312" w:cs="Times New Roman"/>
          <w:iCs/>
          <w:color w:val="auto"/>
          <w:sz w:val="32"/>
          <w:szCs w:val="32"/>
          <w:highlight w:val="none"/>
        </w:rPr>
        <w:t xml:space="preserve">落实防洪排涝重大项目及专项规划设施用地，加强金沙江、渔泡江及中小河流、农村重点河道治理、重点山区河流（山洪沟）治理和病险水库、水闸除险加固、山洪灾害防治，易灾地区加强生态环境综合治理，积极推进洪水风险管理。 </w:t>
      </w:r>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五、消防工程规划</w:t>
      </w:r>
    </w:p>
    <w:p>
      <w:pPr>
        <w:spacing w:line="560" w:lineRule="exact"/>
        <w:ind w:firstLine="640" w:firstLineChars="200"/>
        <w:rPr>
          <w:rFonts w:ascii="Times New Roman" w:hAnsi="Times New Roman" w:eastAsia="仿宋_GB2312" w:cs="Times New Roman"/>
          <w:iCs/>
          <w:color w:val="auto"/>
          <w:sz w:val="32"/>
          <w:szCs w:val="32"/>
          <w:highlight w:val="none"/>
        </w:rPr>
      </w:pPr>
      <w:r>
        <w:rPr>
          <w:rFonts w:hint="eastAsia" w:ascii="Times New Roman" w:hAnsi="Times New Roman" w:eastAsia="仿宋_GB2312" w:cs="Times New Roman"/>
          <w:iCs/>
          <w:color w:val="auto"/>
          <w:sz w:val="32"/>
          <w:szCs w:val="32"/>
          <w:highlight w:val="none"/>
        </w:rPr>
        <w:t>优化大姚县消防安全布局、消防站、消防供水、消防通信、消防车通道、消防装备等布局及设施配置，按照法律法规和相关标准规范执行。具体布局</w:t>
      </w:r>
      <w:r>
        <w:rPr>
          <w:rFonts w:hint="eastAsia" w:ascii="Times New Roman" w:hAnsi="Times New Roman" w:eastAsia="仿宋_GB2312" w:cs="Times New Roman"/>
          <w:iCs/>
          <w:color w:val="auto"/>
          <w:sz w:val="32"/>
          <w:szCs w:val="32"/>
          <w:highlight w:val="none"/>
          <w:lang w:val="en-US" w:eastAsia="zh-CN"/>
        </w:rPr>
        <w:t>应</w:t>
      </w:r>
      <w:r>
        <w:rPr>
          <w:rFonts w:hint="eastAsia" w:ascii="Times New Roman" w:hAnsi="Times New Roman" w:eastAsia="仿宋_GB2312" w:cs="Times New Roman"/>
          <w:iCs/>
          <w:color w:val="auto"/>
          <w:sz w:val="32"/>
          <w:szCs w:val="32"/>
          <w:highlight w:val="none"/>
        </w:rPr>
        <w:t>根据《云南省消防专项规划编制技术导则》</w:t>
      </w:r>
      <w:r>
        <w:rPr>
          <w:rFonts w:hint="eastAsia" w:ascii="Times New Roman" w:hAnsi="Times New Roman" w:eastAsia="仿宋_GB2312" w:cs="Times New Roman"/>
          <w:iCs/>
          <w:color w:val="auto"/>
          <w:sz w:val="32"/>
          <w:szCs w:val="32"/>
          <w:highlight w:val="none"/>
          <w:lang w:val="en-US" w:eastAsia="zh-CN"/>
        </w:rPr>
        <w:t>等</w:t>
      </w:r>
      <w:r>
        <w:rPr>
          <w:rFonts w:hint="eastAsia" w:ascii="Times New Roman" w:hAnsi="Times New Roman" w:eastAsia="仿宋_GB2312" w:cs="Times New Roman"/>
          <w:iCs/>
          <w:color w:val="auto"/>
          <w:sz w:val="32"/>
          <w:szCs w:val="32"/>
          <w:highlight w:val="none"/>
        </w:rPr>
        <w:t>要求，在国土空间详细规划、专项规划中进一步落实。</w:t>
      </w:r>
    </w:p>
    <w:p>
      <w:pPr>
        <w:spacing w:line="560" w:lineRule="exact"/>
        <w:ind w:firstLine="640" w:firstLineChars="200"/>
        <w:rPr>
          <w:rFonts w:ascii="Times New Roman" w:hAnsi="Times New Roman" w:eastAsia="仿宋_GB2312" w:cs="Times New Roman"/>
          <w:iCs/>
          <w:color w:val="auto"/>
          <w:sz w:val="32"/>
          <w:szCs w:val="32"/>
          <w:highlight w:val="none"/>
          <w:u w:val="single"/>
        </w:rPr>
      </w:pPr>
      <w:r>
        <w:rPr>
          <w:rFonts w:hint="eastAsia" w:ascii="Times New Roman" w:hAnsi="Times New Roman" w:eastAsia="仿宋_GB2312" w:cs="Times New Roman"/>
          <w:iCs/>
          <w:color w:val="auto"/>
          <w:sz w:val="32"/>
          <w:szCs w:val="32"/>
          <w:highlight w:val="none"/>
        </w:rPr>
        <w:t>建立城乡覆盖，陆、水、空、地下全方位消防系统，加强大姚县消防队站、消防水源、消防通道和“智慧消防”建设，改善农村消防条件，保障城乡消防安全。在乡镇规划设置消防站或消防设施，在建筑密集、建筑老旧的城镇社区或农村居民点中心位置配建消防水池，保障消防设施建设空间。优化大姚县城市综合防灾布局，合理确定防灾分区，构建城乡一体化的消防站布局，加强消防通道建设和综合治理，建立多级消防通道网络。强化公共消防设施建设，城市消防站按照责任区面积控制在4—7平方公里，接警后5分钟到达火场的城市消防站布局规划原则落实。</w:t>
      </w:r>
    </w:p>
    <w:p>
      <w:pPr>
        <w:spacing w:line="560" w:lineRule="exact"/>
        <w:ind w:firstLine="640" w:firstLineChars="200"/>
        <w:rPr>
          <w:rFonts w:ascii="Times New Roman" w:hAnsi="Times New Roman" w:eastAsia="仿宋_GB2312" w:cs="Times New Roman"/>
          <w:iCs/>
          <w:color w:val="auto"/>
          <w:sz w:val="32"/>
          <w:szCs w:val="32"/>
          <w:highlight w:val="none"/>
        </w:rPr>
      </w:pPr>
      <w:r>
        <w:rPr>
          <w:rFonts w:hint="eastAsia" w:ascii="Times New Roman" w:hAnsi="Times New Roman" w:eastAsia="仿宋_GB2312" w:cs="Times New Roman"/>
          <w:iCs/>
          <w:color w:val="auto"/>
          <w:sz w:val="32"/>
          <w:szCs w:val="32"/>
          <w:highlight w:val="none"/>
        </w:rPr>
        <w:t>将历史文化名镇、传统村落及文物建筑的消防站、消防供水、消防车通道等消防基础设施建设纳入新型城镇化和乡村振兴建设，并与城乡基础设施建设同步实施。</w:t>
      </w:r>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六、海绵城市建设</w:t>
      </w:r>
    </w:p>
    <w:p>
      <w:pPr>
        <w:spacing w:line="560" w:lineRule="exact"/>
        <w:ind w:firstLine="640" w:firstLineChars="200"/>
        <w:rPr>
          <w:rFonts w:ascii="Times New Roman" w:hAnsi="Times New Roman" w:eastAsia="仿宋_GB2312" w:cs="Times New Roman"/>
          <w:iCs/>
          <w:color w:val="auto"/>
          <w:sz w:val="32"/>
          <w:szCs w:val="32"/>
          <w:highlight w:val="none"/>
        </w:rPr>
      </w:pPr>
      <w:r>
        <w:rPr>
          <w:rFonts w:hint="eastAsia" w:ascii="Times New Roman" w:hAnsi="Times New Roman" w:eastAsia="仿宋_GB2312" w:cs="Times New Roman"/>
          <w:iCs/>
          <w:color w:val="auto"/>
          <w:sz w:val="32"/>
          <w:szCs w:val="32"/>
          <w:highlight w:val="none"/>
        </w:rPr>
        <w:t>遵循“渗、滞、蓄、净、用、排”方针，优化海绵城市空间布局，协调水体、绿地、广场等空间利用，统筹考虑内涝防治、径流污染控制、雨水资源化利用和水生态修复等多个目标，完善</w:t>
      </w:r>
      <w:r>
        <w:rPr>
          <w:rFonts w:ascii="Times New Roman" w:hAnsi="Times New Roman" w:eastAsia="仿宋_GB2312" w:cs="Times New Roman"/>
          <w:iCs/>
          <w:color w:val="auto"/>
          <w:sz w:val="32"/>
          <w:szCs w:val="32"/>
          <w:highlight w:val="none"/>
        </w:rPr>
        <w:t>城市防涝与调蓄设施建设。</w:t>
      </w:r>
      <w:r>
        <w:rPr>
          <w:rFonts w:hint="eastAsia" w:ascii="Times New Roman" w:hAnsi="Times New Roman" w:eastAsia="仿宋_GB2312" w:cs="Times New Roman"/>
          <w:iCs/>
          <w:color w:val="auto"/>
          <w:sz w:val="32"/>
          <w:szCs w:val="32"/>
          <w:highlight w:val="none"/>
        </w:rPr>
        <w:t>加强城市坑塘、河湖、湿地等水体自然形态的保护和生态修复，营造多样性生物生存环境，构建大姚海绵城市空间网络。</w:t>
      </w:r>
    </w:p>
    <w:p>
      <w:pPr>
        <w:rPr>
          <w:color w:val="auto"/>
          <w:highlight w:val="none"/>
        </w:rPr>
      </w:pPr>
      <w:r>
        <w:rPr>
          <w:rFonts w:hint="eastAsia" w:ascii="Times New Roman" w:hAnsi="Times New Roman" w:eastAsia="仿宋_GB2312" w:cs="Times New Roman"/>
          <w:iCs/>
          <w:color w:val="auto"/>
          <w:sz w:val="32"/>
          <w:szCs w:val="32"/>
          <w:highlight w:val="none"/>
        </w:rPr>
        <w:br w:type="page"/>
      </w:r>
    </w:p>
    <w:p>
      <w:pPr>
        <w:pStyle w:val="2"/>
        <w:numPr>
          <w:ilvl w:val="0"/>
          <w:numId w:val="2"/>
        </w:numPr>
        <w:spacing w:before="120" w:after="120" w:line="360" w:lineRule="auto"/>
        <w:ind w:left="0"/>
        <w:jc w:val="center"/>
        <w:rPr>
          <w:rFonts w:ascii="黑体" w:hAnsi="黑体" w:eastAsia="黑体" w:cs="黑体"/>
          <w:color w:val="auto"/>
          <w:sz w:val="36"/>
          <w:szCs w:val="36"/>
          <w:highlight w:val="none"/>
        </w:rPr>
      </w:pPr>
      <w:r>
        <w:rPr>
          <w:rFonts w:hint="eastAsia" w:ascii="黑体" w:hAnsi="黑体" w:eastAsia="黑体" w:cs="黑体"/>
          <w:color w:val="auto"/>
          <w:sz w:val="36"/>
          <w:szCs w:val="36"/>
          <w:highlight w:val="none"/>
        </w:rPr>
        <w:t xml:space="preserve"> </w:t>
      </w:r>
      <w:bookmarkStart w:id="78" w:name="_Toc14844"/>
      <w:r>
        <w:rPr>
          <w:rFonts w:hint="eastAsia" w:ascii="黑体" w:hAnsi="黑体" w:eastAsia="黑体" w:cs="黑体"/>
          <w:color w:val="auto"/>
          <w:sz w:val="36"/>
          <w:szCs w:val="36"/>
          <w:highlight w:val="none"/>
        </w:rPr>
        <w:t>推进国土综合整治与生态修复</w:t>
      </w:r>
      <w:bookmarkEnd w:id="78"/>
    </w:p>
    <w:p>
      <w:pPr>
        <w:keepNext/>
        <w:keepLines/>
        <w:numPr>
          <w:ilvl w:val="0"/>
          <w:numId w:val="12"/>
        </w:numPr>
        <w:spacing w:before="78" w:beforeLines="25" w:after="78" w:afterLines="25" w:line="700" w:lineRule="exact"/>
        <w:ind w:left="0" w:firstLine="0"/>
        <w:jc w:val="center"/>
        <w:outlineLvl w:val="1"/>
        <w:rPr>
          <w:rFonts w:ascii="黑体" w:hAnsi="黑体" w:eastAsia="黑体" w:cs="黑体"/>
          <w:b/>
          <w:bCs/>
          <w:color w:val="auto"/>
          <w:sz w:val="32"/>
          <w:szCs w:val="32"/>
          <w:highlight w:val="none"/>
        </w:rPr>
      </w:pPr>
      <w:bookmarkStart w:id="79" w:name="_Toc20557"/>
      <w:r>
        <w:rPr>
          <w:rFonts w:hint="eastAsia" w:ascii="黑体" w:hAnsi="黑体" w:eastAsia="黑体" w:cs="黑体"/>
          <w:b/>
          <w:bCs/>
          <w:color w:val="auto"/>
          <w:sz w:val="32"/>
          <w:szCs w:val="32"/>
          <w:highlight w:val="none"/>
        </w:rPr>
        <w:t>山水林田湖草系统修复</w:t>
      </w:r>
      <w:bookmarkEnd w:id="79"/>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一、生态修复目标</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统筹山水林田湖草沙一体化保护和修复，以金沙江干热河谷地带、水库河道重点整治区、林地重点保护区、生态环境极脆弱区等重点区域为主，加强林地生态修复、水环境治理、水土流失治理、地质灾害治理。规划至</w:t>
      </w:r>
      <w:r>
        <w:rPr>
          <w:rFonts w:ascii="Times New Roman" w:hAnsi="Times New Roman" w:eastAsia="仿宋_GB2312" w:cs="Times New Roman"/>
          <w:color w:val="auto"/>
          <w:sz w:val="32"/>
          <w:szCs w:val="32"/>
          <w:highlight w:val="none"/>
        </w:rPr>
        <w:t>2035年，通过实施各类重点项目，解决重点区域的核心生态问题，使重要和典型生态系统，生物多样性得到有效保护，生态系统得以修复，自然生态系统服务功能逐步完善，全县自然生态系统实现良性循环。</w:t>
      </w:r>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二、识别保护和修复重点区域</w:t>
      </w:r>
    </w:p>
    <w:p>
      <w:pPr>
        <w:spacing w:line="560" w:lineRule="exact"/>
        <w:ind w:firstLine="640" w:firstLineChars="200"/>
        <w:rPr>
          <w:rFonts w:ascii="Times New Roman" w:hAnsi="Times New Roman" w:eastAsia="仿宋_GB2312" w:cs="Times New Roman"/>
          <w:bCs/>
          <w:color w:val="auto"/>
          <w:sz w:val="32"/>
          <w:szCs w:val="32"/>
          <w:highlight w:val="none"/>
        </w:rPr>
      </w:pPr>
      <w:r>
        <w:rPr>
          <w:rFonts w:hint="eastAsia" w:ascii="楷体" w:hAnsi="楷体" w:eastAsia="楷体" w:cs="楷体"/>
          <w:color w:val="auto"/>
          <w:sz w:val="32"/>
          <w:szCs w:val="32"/>
          <w:highlight w:val="none"/>
        </w:rPr>
        <w:t>林地重点保护区域。</w:t>
      </w:r>
      <w:r>
        <w:rPr>
          <w:rFonts w:hint="eastAsia" w:ascii="Times New Roman" w:hAnsi="Times New Roman" w:eastAsia="仿宋_GB2312" w:cs="Times New Roman"/>
          <w:bCs/>
          <w:color w:val="auto"/>
          <w:sz w:val="32"/>
          <w:szCs w:val="32"/>
          <w:highlight w:val="none"/>
        </w:rPr>
        <w:t>林地保护重点区域包括国家级公益林和省级公益林，大姚县各乡镇均有分布，主要集中分布于大姚县北部地区</w:t>
      </w:r>
      <w:r>
        <w:rPr>
          <w:rFonts w:ascii="Times New Roman" w:hAnsi="Times New Roman" w:eastAsia="仿宋_GB2312" w:cs="Times New Roman"/>
          <w:bCs/>
          <w:color w:val="auto"/>
          <w:sz w:val="32"/>
          <w:szCs w:val="32"/>
          <w:highlight w:val="none"/>
        </w:rPr>
        <w:t>。</w:t>
      </w:r>
    </w:p>
    <w:p>
      <w:pPr>
        <w:spacing w:line="560" w:lineRule="exact"/>
        <w:ind w:firstLine="640" w:firstLineChars="200"/>
        <w:rPr>
          <w:rFonts w:ascii="Times New Roman" w:hAnsi="Times New Roman" w:eastAsia="仿宋_GB2312" w:cs="Times New Roman"/>
          <w:bCs/>
          <w:color w:val="auto"/>
          <w:sz w:val="32"/>
          <w:szCs w:val="32"/>
          <w:highlight w:val="none"/>
        </w:rPr>
      </w:pPr>
      <w:r>
        <w:rPr>
          <w:rFonts w:hint="eastAsia" w:ascii="楷体" w:hAnsi="楷体" w:eastAsia="楷体" w:cs="楷体"/>
          <w:color w:val="auto"/>
          <w:sz w:val="32"/>
          <w:szCs w:val="32"/>
          <w:highlight w:val="none"/>
        </w:rPr>
        <w:t>生物多样性重点保护区域。</w:t>
      </w:r>
      <w:r>
        <w:rPr>
          <w:rFonts w:hint="eastAsia" w:ascii="仿宋_GB2312" w:hAnsi="宋体" w:eastAsia="仿宋_GB2312" w:cs="仿宋_GB2312"/>
          <w:color w:val="auto"/>
          <w:kern w:val="0"/>
          <w:sz w:val="32"/>
          <w:szCs w:val="32"/>
          <w:highlight w:val="none"/>
          <w:lang w:bidi="ar"/>
        </w:rPr>
        <w:t>建成以自然保护区为骨干，包括风景名胜区、草原公园等不同类型保护地的保护网络体系。</w:t>
      </w:r>
      <w:r>
        <w:rPr>
          <w:rFonts w:hint="eastAsia" w:ascii="Times New Roman" w:hAnsi="Times New Roman" w:eastAsia="仿宋_GB2312" w:cs="Times New Roman"/>
          <w:bCs/>
          <w:color w:val="auto"/>
          <w:sz w:val="32"/>
          <w:szCs w:val="32"/>
          <w:highlight w:val="none"/>
        </w:rPr>
        <w:t>主要分布</w:t>
      </w:r>
      <w:r>
        <w:rPr>
          <w:rFonts w:ascii="Times New Roman" w:hAnsi="Times New Roman" w:eastAsia="仿宋_GB2312" w:cs="Times New Roman"/>
          <w:bCs/>
          <w:color w:val="auto"/>
          <w:sz w:val="32"/>
          <w:szCs w:val="32"/>
          <w:highlight w:val="none"/>
        </w:rPr>
        <w:t>湾碧傣族傈僳族乡</w:t>
      </w:r>
      <w:r>
        <w:rPr>
          <w:rFonts w:hint="eastAsia" w:ascii="Times New Roman" w:hAnsi="Times New Roman" w:eastAsia="仿宋_GB2312" w:cs="Times New Roman"/>
          <w:bCs/>
          <w:color w:val="auto"/>
          <w:sz w:val="32"/>
          <w:szCs w:val="32"/>
          <w:highlight w:val="none"/>
        </w:rPr>
        <w:t>、三台乡、铁锁乡、昙华乡</w:t>
      </w:r>
      <w:r>
        <w:rPr>
          <w:rFonts w:ascii="Times New Roman" w:hAnsi="Times New Roman" w:eastAsia="仿宋_GB2312" w:cs="Times New Roman"/>
          <w:bCs/>
          <w:color w:val="auto"/>
          <w:sz w:val="32"/>
          <w:szCs w:val="32"/>
          <w:highlight w:val="none"/>
        </w:rPr>
        <w:t>。</w:t>
      </w:r>
    </w:p>
    <w:p>
      <w:pPr>
        <w:spacing w:line="560" w:lineRule="exact"/>
        <w:ind w:firstLine="640" w:firstLineChars="200"/>
        <w:rPr>
          <w:rFonts w:ascii="Times New Roman" w:hAnsi="Times New Roman" w:eastAsia="仿宋_GB2312" w:cs="Times New Roman"/>
          <w:bCs/>
          <w:color w:val="auto"/>
          <w:sz w:val="32"/>
          <w:szCs w:val="32"/>
          <w:highlight w:val="none"/>
        </w:rPr>
      </w:pPr>
      <w:r>
        <w:rPr>
          <w:rFonts w:hint="eastAsia" w:ascii="楷体" w:hAnsi="楷体" w:eastAsia="楷体" w:cs="楷体"/>
          <w:color w:val="auto"/>
          <w:sz w:val="32"/>
          <w:szCs w:val="32"/>
          <w:highlight w:val="none"/>
        </w:rPr>
        <w:t>金沙江干热河谷地带保护区。</w:t>
      </w:r>
      <w:r>
        <w:rPr>
          <w:rFonts w:hint="eastAsia" w:ascii="Times New Roman" w:hAnsi="Times New Roman" w:eastAsia="仿宋_GB2312" w:cs="Times New Roman"/>
          <w:bCs/>
          <w:color w:val="auto"/>
          <w:sz w:val="32"/>
          <w:szCs w:val="32"/>
          <w:highlight w:val="none"/>
        </w:rPr>
        <w:t>大姚县北部金沙江干热河谷地带重点保护区</w:t>
      </w:r>
      <w:r>
        <w:rPr>
          <w:rFonts w:ascii="Times New Roman" w:hAnsi="Times New Roman" w:eastAsia="仿宋_GB2312" w:cs="Times New Roman"/>
          <w:bCs/>
          <w:color w:val="auto"/>
          <w:sz w:val="32"/>
          <w:szCs w:val="32"/>
          <w:highlight w:val="none"/>
        </w:rPr>
        <w:t>主要分布于湾碧傣族傈僳族乡。</w:t>
      </w:r>
    </w:p>
    <w:p>
      <w:pPr>
        <w:spacing w:line="560" w:lineRule="exact"/>
        <w:ind w:firstLine="640" w:firstLineChars="200"/>
        <w:rPr>
          <w:color w:val="auto"/>
          <w:highlight w:val="none"/>
        </w:rPr>
      </w:pPr>
      <w:r>
        <w:rPr>
          <w:rFonts w:hint="eastAsia" w:ascii="楷体" w:hAnsi="楷体" w:eastAsia="楷体" w:cs="楷体"/>
          <w:color w:val="auto"/>
          <w:sz w:val="32"/>
          <w:szCs w:val="32"/>
          <w:highlight w:val="none"/>
        </w:rPr>
        <w:t>水土流失综合防治重点区域。</w:t>
      </w:r>
      <w:r>
        <w:rPr>
          <w:rFonts w:hint="eastAsia" w:ascii="Times New Roman" w:hAnsi="Times New Roman" w:eastAsia="仿宋_GB2312" w:cs="Times New Roman"/>
          <w:bCs/>
          <w:color w:val="auto"/>
          <w:sz w:val="32"/>
          <w:szCs w:val="32"/>
          <w:highlight w:val="none"/>
        </w:rPr>
        <w:t>大姚县水土流失重点预防区为滇中北楚雄州级水土流失重点预防区，主要包括六苴镇、龙街镇、赵家店镇等9个乡镇43个村委会；大姚县水土流失重点治理区主要位于石羊镇、六苴镇、龙街镇等8个乡镇51个村委会。</w:t>
      </w:r>
    </w:p>
    <w:p>
      <w:pPr>
        <w:spacing w:line="560" w:lineRule="exact"/>
        <w:ind w:firstLine="640" w:firstLineChars="200"/>
        <w:rPr>
          <w:rFonts w:ascii="Times New Roman" w:hAnsi="Times New Roman" w:eastAsia="仿宋_GB2312" w:cs="Times New Roman"/>
          <w:bCs/>
          <w:color w:val="auto"/>
          <w:sz w:val="32"/>
          <w:szCs w:val="32"/>
          <w:highlight w:val="none"/>
        </w:rPr>
      </w:pPr>
      <w:r>
        <w:rPr>
          <w:rFonts w:hint="eastAsia" w:ascii="楷体" w:hAnsi="楷体" w:eastAsia="楷体" w:cs="楷体"/>
          <w:color w:val="auto"/>
          <w:sz w:val="32"/>
          <w:szCs w:val="32"/>
          <w:highlight w:val="none"/>
        </w:rPr>
        <w:t>水库、河道整治重点区域。</w:t>
      </w:r>
      <w:r>
        <w:rPr>
          <w:rFonts w:hint="eastAsia" w:ascii="Times New Roman" w:hAnsi="Times New Roman" w:eastAsia="仿宋_GB2312" w:cs="Times New Roman"/>
          <w:bCs/>
          <w:color w:val="auto"/>
          <w:sz w:val="32"/>
          <w:szCs w:val="32"/>
          <w:highlight w:val="none"/>
        </w:rPr>
        <w:t>结合大姚县水资源现状，河道整治重点区域</w:t>
      </w:r>
      <w:r>
        <w:rPr>
          <w:rFonts w:ascii="Times New Roman" w:hAnsi="Times New Roman" w:eastAsia="仿宋_GB2312" w:cs="Times New Roman"/>
          <w:bCs/>
          <w:color w:val="auto"/>
          <w:sz w:val="32"/>
          <w:szCs w:val="32"/>
          <w:highlight w:val="none"/>
        </w:rPr>
        <w:t>主要以蜻蛉河、西河、</w:t>
      </w:r>
      <w:r>
        <w:rPr>
          <w:rFonts w:hint="eastAsia" w:ascii="Times New Roman" w:hAnsi="Times New Roman" w:eastAsia="仿宋_GB2312" w:cs="Times New Roman"/>
          <w:bCs/>
          <w:color w:val="auto"/>
          <w:sz w:val="32"/>
          <w:szCs w:val="32"/>
          <w:highlight w:val="none"/>
        </w:rPr>
        <w:t>龙街</w:t>
      </w:r>
      <w:r>
        <w:rPr>
          <w:rFonts w:ascii="Times New Roman" w:hAnsi="Times New Roman" w:eastAsia="仿宋_GB2312" w:cs="Times New Roman"/>
          <w:bCs/>
          <w:color w:val="auto"/>
          <w:sz w:val="32"/>
          <w:szCs w:val="32"/>
          <w:highlight w:val="none"/>
        </w:rPr>
        <w:t>河等境内中小河道进行河道治理；水库整治重点区域主要围绕县域内中小型水库进行清淤改造工程，涉及</w:t>
      </w:r>
      <w:r>
        <w:rPr>
          <w:rFonts w:hint="eastAsia" w:ascii="Times New Roman" w:hAnsi="Times New Roman" w:eastAsia="仿宋_GB2312" w:cs="Times New Roman"/>
          <w:bCs/>
          <w:color w:val="auto"/>
          <w:sz w:val="32"/>
          <w:szCs w:val="32"/>
          <w:highlight w:val="none"/>
        </w:rPr>
        <w:t>13座水库。</w:t>
      </w:r>
    </w:p>
    <w:p>
      <w:pPr>
        <w:widowControl/>
        <w:spacing w:line="560" w:lineRule="exact"/>
        <w:ind w:firstLine="640" w:firstLineChars="200"/>
        <w:jc w:val="left"/>
        <w:rPr>
          <w:rFonts w:ascii="仿宋_GB2312" w:hAnsi="宋体" w:eastAsia="仿宋_GB2312" w:cs="仿宋_GB2312"/>
          <w:color w:val="auto"/>
          <w:kern w:val="0"/>
          <w:sz w:val="32"/>
          <w:szCs w:val="32"/>
          <w:highlight w:val="none"/>
          <w:lang w:bidi="ar"/>
        </w:rPr>
      </w:pPr>
      <w:r>
        <w:rPr>
          <w:rFonts w:hint="eastAsia" w:ascii="楷体" w:hAnsi="楷体" w:eastAsia="楷体" w:cs="楷体"/>
          <w:color w:val="auto"/>
          <w:sz w:val="32"/>
          <w:szCs w:val="32"/>
          <w:highlight w:val="none"/>
        </w:rPr>
        <w:t>湿地生态保护、修复区。</w:t>
      </w:r>
      <w:r>
        <w:rPr>
          <w:rFonts w:hint="eastAsia" w:ascii="仿宋_GB2312" w:hAnsi="宋体" w:eastAsia="仿宋_GB2312" w:cs="仿宋_GB2312"/>
          <w:color w:val="auto"/>
          <w:kern w:val="0"/>
          <w:sz w:val="32"/>
          <w:szCs w:val="32"/>
          <w:highlight w:val="none"/>
          <w:lang w:bidi="ar"/>
        </w:rPr>
        <w:t>以水生态环境为依托，维护湿地生物生态系统，保障湿地水源补给，完善湿地保护体系，提高湿地在涵养水源、净化水质和维护生物多样性等方面的功能。主要分布于湾碧乡、石羊镇和桂花镇等。</w:t>
      </w:r>
    </w:p>
    <w:p>
      <w:pPr>
        <w:spacing w:line="560" w:lineRule="exact"/>
        <w:ind w:firstLine="640" w:firstLineChars="200"/>
        <w:rPr>
          <w:rFonts w:ascii="Times New Roman" w:hAnsi="Times New Roman" w:eastAsia="仿宋_GB2312" w:cs="Times New Roman"/>
          <w:bCs/>
          <w:color w:val="auto"/>
          <w:sz w:val="32"/>
          <w:szCs w:val="32"/>
          <w:highlight w:val="none"/>
        </w:rPr>
      </w:pPr>
      <w:r>
        <w:rPr>
          <w:rFonts w:hint="eastAsia" w:ascii="楷体" w:hAnsi="楷体" w:eastAsia="楷体" w:cs="楷体"/>
          <w:color w:val="auto"/>
          <w:sz w:val="32"/>
          <w:szCs w:val="32"/>
          <w:highlight w:val="none"/>
        </w:rPr>
        <w:t>水源地保护及涵养重点区域。</w:t>
      </w:r>
      <w:r>
        <w:rPr>
          <w:rFonts w:hint="eastAsia" w:ascii="Times New Roman" w:hAnsi="Times New Roman" w:eastAsia="仿宋_GB2312" w:cs="Times New Roman"/>
          <w:bCs/>
          <w:color w:val="auto"/>
          <w:sz w:val="32"/>
          <w:szCs w:val="32"/>
          <w:highlight w:val="none"/>
        </w:rPr>
        <w:t>大姚县水源地保护重点区域分布于</w:t>
      </w:r>
      <w:r>
        <w:rPr>
          <w:rFonts w:ascii="Times New Roman" w:hAnsi="Times New Roman" w:eastAsia="仿宋_GB2312" w:cs="Times New Roman"/>
          <w:bCs/>
          <w:color w:val="auto"/>
          <w:sz w:val="32"/>
          <w:szCs w:val="32"/>
          <w:highlight w:val="none"/>
        </w:rPr>
        <w:t>12个乡镇，涉及</w:t>
      </w:r>
      <w:r>
        <w:rPr>
          <w:rFonts w:hint="eastAsia" w:ascii="Times New Roman" w:hAnsi="Times New Roman" w:eastAsia="仿宋_GB2312" w:cs="Times New Roman"/>
          <w:bCs/>
          <w:color w:val="auto"/>
          <w:sz w:val="32"/>
          <w:szCs w:val="32"/>
          <w:highlight w:val="none"/>
        </w:rPr>
        <w:t>1</w:t>
      </w:r>
      <w:r>
        <w:rPr>
          <w:rFonts w:hint="eastAsia" w:ascii="Times New Roman" w:hAnsi="Times New Roman" w:eastAsia="仿宋_GB2312" w:cs="Times New Roman"/>
          <w:bCs/>
          <w:color w:val="auto"/>
          <w:sz w:val="32"/>
          <w:szCs w:val="32"/>
          <w:highlight w:val="none"/>
          <w:lang w:val="en-US" w:eastAsia="zh-CN"/>
        </w:rPr>
        <w:t>4</w:t>
      </w:r>
      <w:r>
        <w:rPr>
          <w:rFonts w:ascii="Times New Roman" w:hAnsi="Times New Roman" w:eastAsia="仿宋_GB2312" w:cs="Times New Roman"/>
          <w:bCs/>
          <w:color w:val="auto"/>
          <w:sz w:val="32"/>
          <w:szCs w:val="32"/>
          <w:highlight w:val="none"/>
        </w:rPr>
        <w:t>个水库饮用水水源点。</w:t>
      </w:r>
      <w:r>
        <w:rPr>
          <w:rFonts w:hint="eastAsia" w:ascii="Times New Roman" w:hAnsi="Times New Roman" w:eastAsia="仿宋_GB2312" w:cs="Times New Roman"/>
          <w:bCs/>
          <w:color w:val="auto"/>
          <w:sz w:val="32"/>
          <w:szCs w:val="32"/>
          <w:highlight w:val="none"/>
        </w:rPr>
        <w:t>大姚县水源涵养重点区域</w:t>
      </w:r>
      <w:r>
        <w:rPr>
          <w:rFonts w:ascii="Times New Roman" w:hAnsi="Times New Roman" w:eastAsia="仿宋_GB2312" w:cs="Times New Roman"/>
          <w:bCs/>
          <w:color w:val="auto"/>
          <w:sz w:val="32"/>
          <w:szCs w:val="32"/>
          <w:highlight w:val="none"/>
        </w:rPr>
        <w:t>主要分布于大姚县北部地区，涉及湾碧傣族傈僳族乡、铁锁乡、三台乡、桂花镇。</w:t>
      </w:r>
    </w:p>
    <w:p>
      <w:pPr>
        <w:spacing w:line="560" w:lineRule="exact"/>
        <w:ind w:firstLine="640" w:firstLineChars="200"/>
        <w:rPr>
          <w:rFonts w:ascii="Times New Roman" w:hAnsi="Times New Roman" w:eastAsia="仿宋_GB2312" w:cs="Times New Roman"/>
          <w:bCs/>
          <w:color w:val="auto"/>
          <w:sz w:val="32"/>
          <w:szCs w:val="32"/>
          <w:highlight w:val="none"/>
        </w:rPr>
      </w:pPr>
      <w:r>
        <w:rPr>
          <w:rFonts w:hint="eastAsia" w:ascii="楷体" w:hAnsi="楷体" w:eastAsia="楷体" w:cs="楷体"/>
          <w:color w:val="auto"/>
          <w:sz w:val="32"/>
          <w:szCs w:val="32"/>
          <w:highlight w:val="none"/>
        </w:rPr>
        <w:t>水土保持重点区域。</w:t>
      </w:r>
      <w:r>
        <w:rPr>
          <w:rFonts w:hint="eastAsia" w:ascii="Times New Roman" w:hAnsi="Times New Roman" w:eastAsia="仿宋_GB2312" w:cs="Times New Roman"/>
          <w:bCs/>
          <w:color w:val="auto"/>
          <w:sz w:val="32"/>
          <w:szCs w:val="32"/>
          <w:highlight w:val="none"/>
        </w:rPr>
        <w:t>结合“双评价</w:t>
      </w:r>
      <w:r>
        <w:rPr>
          <w:rFonts w:ascii="Times New Roman" w:hAnsi="Times New Roman" w:eastAsia="仿宋_GB2312" w:cs="Times New Roman"/>
          <w:bCs/>
          <w:color w:val="auto"/>
          <w:sz w:val="32"/>
          <w:szCs w:val="32"/>
          <w:highlight w:val="none"/>
        </w:rPr>
        <w:t>”</w:t>
      </w:r>
      <w:r>
        <w:rPr>
          <w:rFonts w:hint="eastAsia" w:ascii="Times New Roman" w:hAnsi="Times New Roman" w:eastAsia="仿宋_GB2312" w:cs="Times New Roman"/>
          <w:bCs/>
          <w:color w:val="auto"/>
          <w:sz w:val="32"/>
          <w:szCs w:val="32"/>
          <w:highlight w:val="none"/>
        </w:rPr>
        <w:t>，大姚县水土保持重点区域</w:t>
      </w:r>
      <w:r>
        <w:rPr>
          <w:rFonts w:ascii="Times New Roman" w:hAnsi="Times New Roman" w:eastAsia="仿宋_GB2312" w:cs="Times New Roman"/>
          <w:bCs/>
          <w:color w:val="auto"/>
          <w:sz w:val="32"/>
          <w:szCs w:val="32"/>
          <w:highlight w:val="none"/>
        </w:rPr>
        <w:t>主要分布于大姚县北部地区，涉及湾碧傣族傈僳族乡、三台乡、石羊镇、六苴镇、铁锁乡、三岔河镇。</w:t>
      </w:r>
    </w:p>
    <w:p>
      <w:pPr>
        <w:spacing w:line="560" w:lineRule="exact"/>
        <w:ind w:firstLine="640" w:firstLineChars="200"/>
        <w:rPr>
          <w:rFonts w:ascii="Times New Roman" w:hAnsi="Times New Roman" w:eastAsia="仿宋_GB2312" w:cs="Times New Roman"/>
          <w:bCs/>
          <w:color w:val="auto"/>
          <w:sz w:val="32"/>
          <w:szCs w:val="32"/>
          <w:highlight w:val="none"/>
        </w:rPr>
      </w:pPr>
      <w:r>
        <w:rPr>
          <w:rFonts w:hint="eastAsia" w:ascii="楷体" w:hAnsi="楷体" w:eastAsia="楷体" w:cs="楷体"/>
          <w:color w:val="auto"/>
          <w:sz w:val="32"/>
          <w:szCs w:val="32"/>
          <w:highlight w:val="none"/>
        </w:rPr>
        <w:t>地质灾害治理重点区域。</w:t>
      </w:r>
      <w:r>
        <w:rPr>
          <w:rFonts w:hint="eastAsia" w:ascii="Times New Roman" w:hAnsi="Times New Roman" w:eastAsia="仿宋_GB2312" w:cs="Times New Roman"/>
          <w:bCs/>
          <w:color w:val="auto"/>
          <w:sz w:val="32"/>
          <w:szCs w:val="32"/>
          <w:highlight w:val="none"/>
        </w:rPr>
        <w:t>围绕县域内地质灾害隐患点进行地质灾害治理</w:t>
      </w:r>
      <w:r>
        <w:rPr>
          <w:rFonts w:ascii="Times New Roman" w:hAnsi="Times New Roman" w:eastAsia="仿宋_GB2312" w:cs="Times New Roman"/>
          <w:bCs/>
          <w:color w:val="auto"/>
          <w:sz w:val="32"/>
          <w:szCs w:val="32"/>
          <w:highlight w:val="none"/>
        </w:rPr>
        <w:t>。</w:t>
      </w:r>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三、实施生态保护和修复重点工程</w:t>
      </w:r>
    </w:p>
    <w:p>
      <w:pPr>
        <w:spacing w:line="560" w:lineRule="exact"/>
        <w:ind w:firstLine="640" w:firstLineChars="200"/>
        <w:rPr>
          <w:rFonts w:ascii="Times New Roman" w:hAnsi="Times New Roman" w:eastAsia="仿宋_GB2312" w:cs="Times New Roman"/>
          <w:bCs/>
          <w:color w:val="auto"/>
          <w:sz w:val="32"/>
          <w:szCs w:val="32"/>
          <w:highlight w:val="none"/>
        </w:rPr>
      </w:pPr>
      <w:r>
        <w:rPr>
          <w:rFonts w:hint="eastAsia" w:ascii="楷体" w:hAnsi="楷体" w:eastAsia="楷体" w:cs="楷体"/>
          <w:color w:val="auto"/>
          <w:sz w:val="32"/>
          <w:szCs w:val="32"/>
          <w:highlight w:val="none"/>
        </w:rPr>
        <w:t>林地保护。</w:t>
      </w:r>
      <w:r>
        <w:rPr>
          <w:rFonts w:hint="eastAsia" w:ascii="Times New Roman" w:hAnsi="Times New Roman" w:eastAsia="仿宋_GB2312" w:cs="Times New Roman"/>
          <w:bCs/>
          <w:color w:val="auto"/>
          <w:sz w:val="32"/>
          <w:szCs w:val="32"/>
          <w:highlight w:val="none"/>
        </w:rPr>
        <w:t>规划实施林地生态保护修复重点项目。规划至2035年，大姚县共计安排30个林地生态保护修复重点项目。</w:t>
      </w:r>
    </w:p>
    <w:p>
      <w:pPr>
        <w:spacing w:line="560" w:lineRule="exact"/>
        <w:ind w:firstLine="640" w:firstLineChars="200"/>
        <w:rPr>
          <w:rFonts w:ascii="Times New Roman" w:hAnsi="Times New Roman" w:eastAsia="仿宋_GB2312" w:cs="Times New Roman"/>
          <w:bCs/>
          <w:color w:val="auto"/>
          <w:sz w:val="32"/>
          <w:szCs w:val="32"/>
          <w:highlight w:val="none"/>
        </w:rPr>
      </w:pPr>
      <w:r>
        <w:rPr>
          <w:rFonts w:hint="eastAsia" w:ascii="楷体" w:hAnsi="楷体" w:eastAsia="楷体" w:cs="楷体"/>
          <w:color w:val="auto"/>
          <w:sz w:val="32"/>
          <w:szCs w:val="32"/>
          <w:highlight w:val="none"/>
        </w:rPr>
        <w:t>生物多样性保护。</w:t>
      </w:r>
      <w:r>
        <w:rPr>
          <w:rFonts w:hint="eastAsia" w:ascii="Times New Roman" w:hAnsi="Times New Roman" w:eastAsia="仿宋_GB2312" w:cs="Times New Roman"/>
          <w:bCs/>
          <w:color w:val="auto"/>
          <w:sz w:val="32"/>
          <w:szCs w:val="32"/>
          <w:highlight w:val="none"/>
        </w:rPr>
        <w:t>通过实施生物多样性保护重点建设项目，加快生物多样性保护区域的生态保护和修复，开展生物多样性监测，保护和恢复生物多样性。规划至</w:t>
      </w:r>
      <w:r>
        <w:rPr>
          <w:rFonts w:ascii="Times New Roman" w:hAnsi="Times New Roman" w:eastAsia="仿宋_GB2312" w:cs="Times New Roman"/>
          <w:bCs/>
          <w:color w:val="auto"/>
          <w:sz w:val="32"/>
          <w:szCs w:val="32"/>
          <w:highlight w:val="none"/>
        </w:rPr>
        <w:t>2035年，大姚县共计安排</w:t>
      </w:r>
      <w:r>
        <w:rPr>
          <w:rFonts w:hint="eastAsia" w:ascii="Times New Roman" w:hAnsi="Times New Roman" w:eastAsia="仿宋_GB2312" w:cs="Times New Roman"/>
          <w:bCs/>
          <w:color w:val="auto"/>
          <w:sz w:val="32"/>
          <w:szCs w:val="32"/>
          <w:highlight w:val="none"/>
        </w:rPr>
        <w:t>12个</w:t>
      </w:r>
      <w:r>
        <w:rPr>
          <w:rFonts w:ascii="Times New Roman" w:hAnsi="Times New Roman" w:eastAsia="仿宋_GB2312" w:cs="Times New Roman"/>
          <w:bCs/>
          <w:color w:val="auto"/>
          <w:sz w:val="32"/>
          <w:szCs w:val="32"/>
          <w:highlight w:val="none"/>
        </w:rPr>
        <w:t>生物多样性保护重点项目。</w:t>
      </w:r>
    </w:p>
    <w:p>
      <w:pPr>
        <w:spacing w:line="560" w:lineRule="exact"/>
        <w:ind w:firstLine="640" w:firstLineChars="200"/>
        <w:rPr>
          <w:rFonts w:ascii="Times New Roman" w:hAnsi="Times New Roman" w:eastAsia="仿宋_GB2312" w:cs="Times New Roman"/>
          <w:bCs/>
          <w:color w:val="auto"/>
          <w:sz w:val="32"/>
          <w:szCs w:val="32"/>
          <w:highlight w:val="none"/>
        </w:rPr>
      </w:pPr>
      <w:r>
        <w:rPr>
          <w:rFonts w:hint="eastAsia" w:ascii="楷体" w:hAnsi="楷体" w:eastAsia="楷体" w:cs="楷体"/>
          <w:color w:val="auto"/>
          <w:sz w:val="32"/>
          <w:szCs w:val="32"/>
          <w:highlight w:val="none"/>
        </w:rPr>
        <w:t>水土流失综合防治。</w:t>
      </w:r>
      <w:r>
        <w:rPr>
          <w:rFonts w:hint="eastAsia" w:ascii="Times New Roman" w:hAnsi="Times New Roman" w:eastAsia="仿宋_GB2312" w:cs="Times New Roman"/>
          <w:bCs/>
          <w:color w:val="auto"/>
          <w:sz w:val="32"/>
          <w:szCs w:val="32"/>
          <w:highlight w:val="none"/>
        </w:rPr>
        <w:t>加强水土流失综合治理，调整优化土地利用结构，保护自然生境和生物群落，恢复自然生态系统。规划至2035年，大姚县共计划安排18个水土流失治理重点工程。</w:t>
      </w:r>
    </w:p>
    <w:p>
      <w:pPr>
        <w:spacing w:line="560" w:lineRule="exact"/>
        <w:ind w:firstLine="640" w:firstLineChars="200"/>
        <w:rPr>
          <w:rFonts w:ascii="Times New Roman" w:hAnsi="Times New Roman" w:eastAsia="仿宋_GB2312" w:cs="Times New Roman"/>
          <w:bCs/>
          <w:color w:val="auto"/>
          <w:sz w:val="32"/>
          <w:szCs w:val="32"/>
          <w:highlight w:val="none"/>
        </w:rPr>
      </w:pPr>
      <w:r>
        <w:rPr>
          <w:rFonts w:hint="eastAsia" w:ascii="楷体" w:hAnsi="楷体" w:eastAsia="楷体" w:cs="楷体"/>
          <w:color w:val="auto"/>
          <w:sz w:val="32"/>
          <w:szCs w:val="32"/>
          <w:highlight w:val="none"/>
        </w:rPr>
        <w:t>水库、河道治理。</w:t>
      </w:r>
      <w:r>
        <w:rPr>
          <w:rFonts w:hint="eastAsia" w:ascii="Times New Roman" w:hAnsi="Times New Roman" w:eastAsia="仿宋_GB2312" w:cs="Times New Roman"/>
          <w:bCs/>
          <w:color w:val="auto"/>
          <w:sz w:val="32"/>
          <w:szCs w:val="32"/>
          <w:highlight w:val="none"/>
        </w:rPr>
        <w:t>综合划定水环境整治重点区域</w:t>
      </w:r>
      <w:r>
        <w:rPr>
          <w:rFonts w:hint="eastAsia" w:ascii="Times New Roman" w:hAnsi="Times New Roman" w:eastAsia="仿宋_GB2312" w:cs="Times New Roman"/>
          <w:bCs/>
          <w:color w:val="auto"/>
          <w:sz w:val="32"/>
          <w:szCs w:val="32"/>
          <w:highlight w:val="none"/>
          <w:lang w:eastAsia="zh-CN"/>
        </w:rPr>
        <w:t>，</w:t>
      </w:r>
      <w:r>
        <w:rPr>
          <w:rFonts w:hint="eastAsia" w:ascii="Times New Roman" w:hAnsi="Times New Roman" w:eastAsia="仿宋_GB2312" w:cs="Times New Roman"/>
          <w:bCs/>
          <w:color w:val="auto"/>
          <w:sz w:val="32"/>
          <w:szCs w:val="32"/>
          <w:highlight w:val="none"/>
        </w:rPr>
        <w:t>提升水环境协同治理能力。规划至2035年，大姚县计划开展12个水库治理重点项目以及23个河道整治重点项目。</w:t>
      </w:r>
    </w:p>
    <w:p>
      <w:pPr>
        <w:spacing w:line="560" w:lineRule="exact"/>
        <w:ind w:firstLine="640" w:firstLineChars="200"/>
        <w:rPr>
          <w:rFonts w:ascii="Times New Roman" w:hAnsi="Times New Roman" w:eastAsia="仿宋_GB2312" w:cs="Times New Roman"/>
          <w:bCs/>
          <w:color w:val="auto"/>
          <w:sz w:val="32"/>
          <w:szCs w:val="32"/>
          <w:highlight w:val="none"/>
        </w:rPr>
      </w:pPr>
      <w:r>
        <w:rPr>
          <w:rFonts w:hint="eastAsia" w:ascii="楷体" w:hAnsi="楷体" w:eastAsia="楷体" w:cs="楷体"/>
          <w:color w:val="auto"/>
          <w:sz w:val="32"/>
          <w:szCs w:val="32"/>
          <w:highlight w:val="none"/>
        </w:rPr>
        <w:t>水源地及涵养区保护。</w:t>
      </w:r>
      <w:r>
        <w:rPr>
          <w:rFonts w:ascii="Times New Roman" w:hAnsi="Times New Roman" w:eastAsia="仿宋_GB2312" w:cs="Times New Roman"/>
          <w:bCs/>
          <w:color w:val="auto"/>
          <w:sz w:val="32"/>
          <w:szCs w:val="32"/>
          <w:highlight w:val="none"/>
        </w:rPr>
        <w:t>对水源及水源涵养区进行保护，增大径流区水源涵养能力，改善水源保护区生态环境。规划至</w:t>
      </w:r>
      <w:r>
        <w:rPr>
          <w:rFonts w:hint="eastAsia" w:ascii="Times New Roman" w:hAnsi="Times New Roman" w:eastAsia="仿宋_GB2312" w:cs="Times New Roman"/>
          <w:bCs/>
          <w:color w:val="auto"/>
          <w:sz w:val="32"/>
          <w:szCs w:val="32"/>
          <w:highlight w:val="none"/>
        </w:rPr>
        <w:t>2035年，大姚县共计安排32个</w:t>
      </w:r>
      <w:r>
        <w:rPr>
          <w:rFonts w:ascii="Times New Roman" w:hAnsi="Times New Roman" w:eastAsia="仿宋_GB2312" w:cs="Times New Roman"/>
          <w:bCs/>
          <w:color w:val="auto"/>
          <w:sz w:val="32"/>
          <w:szCs w:val="32"/>
          <w:highlight w:val="none"/>
        </w:rPr>
        <w:t>水源地保护重点项目</w:t>
      </w:r>
      <w:r>
        <w:rPr>
          <w:rFonts w:hint="eastAsia" w:ascii="Times New Roman" w:hAnsi="Times New Roman" w:eastAsia="仿宋_GB2312" w:cs="Times New Roman"/>
          <w:bCs/>
          <w:color w:val="auto"/>
          <w:sz w:val="32"/>
          <w:szCs w:val="32"/>
          <w:highlight w:val="none"/>
        </w:rPr>
        <w:t>。</w:t>
      </w:r>
    </w:p>
    <w:p>
      <w:pPr>
        <w:spacing w:line="560" w:lineRule="exact"/>
        <w:ind w:firstLine="640" w:firstLineChars="200"/>
        <w:rPr>
          <w:rFonts w:ascii="黑体" w:hAnsi="黑体" w:eastAsia="黑体" w:cs="黑体"/>
          <w:b/>
          <w:bCs/>
          <w:color w:val="auto"/>
          <w:sz w:val="32"/>
          <w:szCs w:val="32"/>
          <w:highlight w:val="none"/>
        </w:rPr>
      </w:pPr>
      <w:r>
        <w:rPr>
          <w:rFonts w:hint="eastAsia" w:ascii="楷体" w:hAnsi="楷体" w:eastAsia="楷体" w:cs="楷体"/>
          <w:color w:val="auto"/>
          <w:sz w:val="32"/>
          <w:szCs w:val="32"/>
          <w:highlight w:val="none"/>
        </w:rPr>
        <w:t>地质灾害防治。</w:t>
      </w:r>
      <w:r>
        <w:rPr>
          <w:rFonts w:ascii="Times New Roman" w:hAnsi="Times New Roman" w:eastAsia="仿宋_GB2312" w:cs="Times New Roman"/>
          <w:bCs/>
          <w:color w:val="auto"/>
          <w:sz w:val="32"/>
          <w:szCs w:val="32"/>
          <w:highlight w:val="none"/>
        </w:rPr>
        <w:t>建立地质灾害防治管理体系，完善地质灾害应急反应系统、加强地质灾害防治宣传、组建应急队伍以及加强汛期值班人员岗位检查。规划至</w:t>
      </w:r>
      <w:r>
        <w:rPr>
          <w:rFonts w:hint="eastAsia" w:ascii="Times New Roman" w:hAnsi="Times New Roman" w:eastAsia="仿宋_GB2312" w:cs="Times New Roman"/>
          <w:bCs/>
          <w:color w:val="auto"/>
          <w:sz w:val="32"/>
          <w:szCs w:val="32"/>
          <w:highlight w:val="none"/>
        </w:rPr>
        <w:t>2035年，大姚县共计划实施6个地质灾害综合整治项目。</w:t>
      </w:r>
    </w:p>
    <w:p>
      <w:pPr>
        <w:keepNext/>
        <w:keepLines/>
        <w:numPr>
          <w:ilvl w:val="0"/>
          <w:numId w:val="12"/>
        </w:numPr>
        <w:spacing w:before="78" w:beforeLines="25" w:after="78" w:afterLines="25" w:line="700" w:lineRule="exact"/>
        <w:ind w:left="0" w:firstLine="0"/>
        <w:jc w:val="center"/>
        <w:outlineLvl w:val="1"/>
        <w:rPr>
          <w:rFonts w:ascii="黑体" w:hAnsi="黑体" w:eastAsia="黑体" w:cs="黑体"/>
          <w:b/>
          <w:bCs/>
          <w:color w:val="auto"/>
          <w:sz w:val="32"/>
          <w:szCs w:val="32"/>
          <w:highlight w:val="none"/>
        </w:rPr>
      </w:pPr>
      <w:bookmarkStart w:id="80" w:name="_Toc11095"/>
      <w:r>
        <w:rPr>
          <w:rFonts w:hint="eastAsia" w:ascii="黑体" w:hAnsi="黑体" w:eastAsia="黑体" w:cs="黑体"/>
          <w:b/>
          <w:bCs/>
          <w:color w:val="auto"/>
          <w:sz w:val="32"/>
          <w:szCs w:val="32"/>
          <w:highlight w:val="none"/>
        </w:rPr>
        <w:t>国土综合整治</w:t>
      </w:r>
      <w:bookmarkEnd w:id="80"/>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一、推进农村土地综合整治</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深入开展农用地整理。</w:t>
      </w:r>
      <w:r>
        <w:rPr>
          <w:rFonts w:hint="eastAsia" w:ascii="Times New Roman" w:hAnsi="Times New Roman" w:eastAsia="仿宋_GB2312" w:cs="Times New Roman"/>
          <w:color w:val="auto"/>
          <w:sz w:val="32"/>
          <w:szCs w:val="32"/>
          <w:highlight w:val="none"/>
        </w:rPr>
        <w:t>大力推进农用地整治，优化农用地布局，落实耕地管控政策，构建数量，质量和生态“三位一体”综合整治，合理利用农用地提质改造、农田基础设施建设、土壤改良等措施，提高中低等级的农用地质量、改善农田生态，有序推进高标准基本农田建设和垦造水田工程，适度开发补充耕地，有效增加耕地数量。农用地整治重点区域主要分布与金碧镇、新街镇、赵家店镇和龙街镇等地势较为平坦区域。规划至</w:t>
      </w:r>
      <w:r>
        <w:rPr>
          <w:rFonts w:ascii="Times New Roman" w:hAnsi="Times New Roman" w:eastAsia="仿宋_GB2312" w:cs="Times New Roman"/>
          <w:color w:val="auto"/>
          <w:sz w:val="32"/>
          <w:szCs w:val="32"/>
          <w:highlight w:val="none"/>
        </w:rPr>
        <w:t>2035年，大姚县规划</w:t>
      </w:r>
      <w:r>
        <w:rPr>
          <w:rFonts w:hint="eastAsia" w:ascii="Times New Roman" w:hAnsi="Times New Roman" w:eastAsia="仿宋_GB2312" w:cs="Times New Roman"/>
          <w:bCs/>
          <w:color w:val="auto"/>
          <w:sz w:val="32"/>
          <w:szCs w:val="32"/>
          <w:highlight w:val="none"/>
        </w:rPr>
        <w:t>12个</w:t>
      </w:r>
      <w:r>
        <w:rPr>
          <w:rFonts w:ascii="Times New Roman" w:hAnsi="Times New Roman" w:eastAsia="仿宋_GB2312" w:cs="Times New Roman"/>
          <w:color w:val="auto"/>
          <w:sz w:val="32"/>
          <w:szCs w:val="32"/>
          <w:highlight w:val="none"/>
        </w:rPr>
        <w:t>提质改造项目开展，</w:t>
      </w:r>
      <w:r>
        <w:rPr>
          <w:rFonts w:hint="eastAsia" w:ascii="Times New Roman" w:hAnsi="Times New Roman" w:eastAsia="仿宋_GB2312" w:cs="Times New Roman"/>
          <w:bCs/>
          <w:color w:val="auto"/>
          <w:sz w:val="32"/>
          <w:szCs w:val="32"/>
          <w:highlight w:val="none"/>
        </w:rPr>
        <w:t>22个</w:t>
      </w:r>
      <w:r>
        <w:rPr>
          <w:rFonts w:ascii="Times New Roman" w:hAnsi="Times New Roman" w:eastAsia="仿宋_GB2312" w:cs="Times New Roman"/>
          <w:color w:val="auto"/>
          <w:sz w:val="32"/>
          <w:szCs w:val="32"/>
          <w:highlight w:val="none"/>
        </w:rPr>
        <w:t>高标准农田示范地建设以及</w:t>
      </w:r>
      <w:r>
        <w:rPr>
          <w:rFonts w:hint="eastAsia" w:ascii="Times New Roman" w:hAnsi="Times New Roman" w:eastAsia="仿宋_GB2312" w:cs="Times New Roman"/>
          <w:bCs/>
          <w:color w:val="auto"/>
          <w:sz w:val="32"/>
          <w:szCs w:val="32"/>
          <w:highlight w:val="none"/>
        </w:rPr>
        <w:t>127个</w:t>
      </w:r>
      <w:r>
        <w:rPr>
          <w:rFonts w:ascii="Times New Roman" w:hAnsi="Times New Roman" w:eastAsia="仿宋_GB2312" w:cs="Times New Roman"/>
          <w:color w:val="auto"/>
          <w:sz w:val="32"/>
          <w:szCs w:val="32"/>
          <w:highlight w:val="none"/>
        </w:rPr>
        <w:t>补充耕地项目。</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全面开展农村环境综合整治。</w:t>
      </w:r>
      <w:r>
        <w:rPr>
          <w:rFonts w:hint="eastAsia" w:ascii="Times New Roman" w:hAnsi="Times New Roman" w:eastAsia="仿宋_GB2312" w:cs="Times New Roman"/>
          <w:color w:val="auto"/>
          <w:sz w:val="32"/>
          <w:szCs w:val="32"/>
          <w:highlight w:val="none"/>
        </w:rPr>
        <w:t>加强村庄闲置、低效用地盘活；完善基础设施和公共服务设施建设；深化村庄环境综合整治。加强规划编制与实施；注重乡村风貌、历史文化保护；因地制宜分区（类）引导，积极开展推进大姚县美丽乡村建设项目。农村环境重点整治区域主要以各村民小组为整治单元，积极推进各类整治项目实施，改善农村人居环境。</w:t>
      </w:r>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二、实施城镇低效用地整治</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以旧城镇、旧厂房等城镇低效建设用地整治和改造为抓手，加快批而未用土地建设，提高城镇建设用地节约集约利用水平，通过建设用地结构调整，</w:t>
      </w:r>
      <w:r>
        <w:rPr>
          <w:rFonts w:hint="eastAsia" w:ascii="Times New Roman" w:hAnsi="Times New Roman" w:eastAsia="仿宋_GB2312" w:cs="Times New Roman"/>
          <w:color w:val="auto"/>
          <w:sz w:val="32"/>
          <w:szCs w:val="32"/>
          <w:highlight w:val="none"/>
          <w:lang w:val="en-US" w:eastAsia="zh-CN"/>
        </w:rPr>
        <w:t>支撑</w:t>
      </w:r>
      <w:r>
        <w:rPr>
          <w:rFonts w:hint="eastAsia" w:ascii="Times New Roman" w:hAnsi="Times New Roman" w:eastAsia="仿宋_GB2312" w:cs="Times New Roman"/>
          <w:color w:val="auto"/>
          <w:sz w:val="32"/>
          <w:szCs w:val="32"/>
          <w:highlight w:val="none"/>
        </w:rPr>
        <w:t>大姚县产业升级。</w:t>
      </w:r>
      <w:r>
        <w:rPr>
          <w:rFonts w:hint="eastAsia" w:ascii="Times New Roman" w:hAnsi="Times New Roman" w:eastAsia="仿宋_GB2312" w:cs="Times New Roman"/>
          <w:color w:val="auto"/>
          <w:sz w:val="32"/>
          <w:szCs w:val="32"/>
          <w:highlight w:val="none"/>
          <w:lang w:val="en-US" w:eastAsia="zh-CN"/>
        </w:rPr>
        <w:t>有序推进</w:t>
      </w:r>
      <w:r>
        <w:rPr>
          <w:rFonts w:hint="eastAsia" w:ascii="Times New Roman" w:hAnsi="Times New Roman" w:eastAsia="仿宋_GB2312" w:cs="Times New Roman"/>
          <w:color w:val="auto"/>
          <w:sz w:val="32"/>
          <w:szCs w:val="32"/>
          <w:highlight w:val="none"/>
        </w:rPr>
        <w:t>大姚县城镇低效用地整治项目</w:t>
      </w:r>
      <w:r>
        <w:rPr>
          <w:rFonts w:hint="eastAsia" w:ascii="Times New Roman" w:hAnsi="Times New Roman" w:eastAsia="仿宋_GB2312" w:cs="Times New Roman"/>
          <w:color w:val="auto"/>
          <w:sz w:val="32"/>
          <w:szCs w:val="32"/>
          <w:highlight w:val="none"/>
          <w:lang w:val="en-US" w:eastAsia="zh-CN"/>
        </w:rPr>
        <w:t>和</w:t>
      </w:r>
      <w:r>
        <w:rPr>
          <w:rFonts w:hint="eastAsia" w:ascii="Times New Roman" w:hAnsi="Times New Roman" w:eastAsia="仿宋_GB2312" w:cs="Times New Roman"/>
          <w:color w:val="auto"/>
          <w:sz w:val="32"/>
          <w:szCs w:val="32"/>
          <w:highlight w:val="none"/>
        </w:rPr>
        <w:t>人居环境整治建设项目</w:t>
      </w:r>
      <w:r>
        <w:rPr>
          <w:rFonts w:hint="eastAsia" w:ascii="Times New Roman" w:hAnsi="Times New Roman" w:eastAsia="仿宋_GB2312" w:cs="Times New Roman"/>
          <w:bCs/>
          <w:color w:val="auto"/>
          <w:sz w:val="32"/>
          <w:szCs w:val="32"/>
          <w:highlight w:val="none"/>
          <w:lang w:val="en-US" w:eastAsia="zh-CN"/>
        </w:rPr>
        <w:t>实施</w:t>
      </w:r>
      <w:r>
        <w:rPr>
          <w:rFonts w:hint="eastAsia" w:ascii="Times New Roman" w:hAnsi="Times New Roman" w:eastAsia="仿宋_GB2312" w:cs="Times New Roman"/>
          <w:color w:val="auto"/>
          <w:sz w:val="32"/>
          <w:szCs w:val="32"/>
          <w:highlight w:val="none"/>
        </w:rPr>
        <w:t>。</w:t>
      </w:r>
    </w:p>
    <w:p>
      <w:pPr>
        <w:keepNext/>
        <w:keepLines/>
        <w:numPr>
          <w:ilvl w:val="0"/>
          <w:numId w:val="12"/>
        </w:numPr>
        <w:spacing w:before="78" w:beforeLines="25" w:after="78" w:afterLines="25" w:line="700" w:lineRule="exact"/>
        <w:ind w:left="0" w:firstLine="0"/>
        <w:jc w:val="center"/>
        <w:outlineLvl w:val="1"/>
        <w:rPr>
          <w:rFonts w:ascii="黑体" w:hAnsi="黑体" w:eastAsia="黑体" w:cs="黑体"/>
          <w:b/>
          <w:bCs/>
          <w:color w:val="auto"/>
          <w:sz w:val="32"/>
          <w:szCs w:val="32"/>
          <w:highlight w:val="none"/>
        </w:rPr>
      </w:pPr>
      <w:bookmarkStart w:id="81" w:name="_Toc19059"/>
      <w:r>
        <w:rPr>
          <w:rFonts w:hint="eastAsia" w:ascii="黑体" w:hAnsi="黑体" w:eastAsia="黑体" w:cs="黑体"/>
          <w:b/>
          <w:bCs/>
          <w:color w:val="auto"/>
          <w:sz w:val="32"/>
          <w:szCs w:val="32"/>
          <w:highlight w:val="none"/>
        </w:rPr>
        <w:t>矿山生态修复</w:t>
      </w:r>
      <w:bookmarkEnd w:id="81"/>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推进矿山综合治理，修复矿区生态环境。遵循宜耕则耕、宜林则林、宜草则草、宜湿则湿、宜建则建的原则，统筹推进历史遗留矿山和生产矿山的生态保护修复，恢复和提升矿区生态功能。规划至2035年，大姚县共计安排</w:t>
      </w:r>
      <w:r>
        <w:rPr>
          <w:rFonts w:hint="eastAsia" w:ascii="Times New Roman" w:hAnsi="Times New Roman" w:eastAsia="仿宋_GB2312" w:cs="Times New Roman"/>
          <w:color w:val="auto"/>
          <w:sz w:val="32"/>
          <w:szCs w:val="32"/>
          <w:highlight w:val="none"/>
          <w:lang w:val="en-US" w:eastAsia="zh-CN"/>
        </w:rPr>
        <w:t>42</w:t>
      </w:r>
      <w:r>
        <w:rPr>
          <w:rFonts w:ascii="Times New Roman" w:hAnsi="Times New Roman" w:eastAsia="仿宋_GB2312" w:cs="Times New Roman"/>
          <w:color w:val="auto"/>
          <w:sz w:val="32"/>
          <w:szCs w:val="32"/>
          <w:highlight w:val="none"/>
        </w:rPr>
        <w:t>个矿山修复项目，</w:t>
      </w:r>
      <w:r>
        <w:rPr>
          <w:rFonts w:hint="eastAsia" w:ascii="Times New Roman" w:hAnsi="Times New Roman" w:eastAsia="仿宋_GB2312" w:cs="Times New Roman"/>
          <w:color w:val="auto"/>
          <w:sz w:val="32"/>
          <w:szCs w:val="32"/>
          <w:highlight w:val="none"/>
          <w:lang w:val="en-US" w:eastAsia="zh-CN"/>
        </w:rPr>
        <w:t>主要</w:t>
      </w:r>
      <w:r>
        <w:rPr>
          <w:rFonts w:ascii="Times New Roman" w:hAnsi="Times New Roman" w:eastAsia="仿宋_GB2312" w:cs="Times New Roman"/>
          <w:color w:val="auto"/>
          <w:sz w:val="32"/>
          <w:szCs w:val="32"/>
          <w:highlight w:val="none"/>
        </w:rPr>
        <w:t>位于龙街镇、金碧镇、赵家店镇等。</w:t>
      </w:r>
    </w:p>
    <w:p>
      <w:pPr>
        <w:pStyle w:val="15"/>
        <w:rPr>
          <w:rFonts w:ascii="Times New Roman" w:hAnsi="Times New Roman" w:eastAsia="仿宋_GB2312" w:cs="Times New Roman"/>
          <w:color w:val="auto"/>
          <w:sz w:val="32"/>
          <w:szCs w:val="32"/>
          <w:highlight w:val="none"/>
        </w:rPr>
        <w:sectPr>
          <w:pgSz w:w="11906" w:h="16838"/>
          <w:pgMar w:top="1440" w:right="1800" w:bottom="1440" w:left="1800" w:header="851" w:footer="992" w:gutter="0"/>
          <w:cols w:space="425" w:num="1"/>
          <w:docGrid w:type="lines" w:linePitch="312" w:charSpace="0"/>
        </w:sectPr>
      </w:pPr>
    </w:p>
    <w:p>
      <w:pPr>
        <w:pStyle w:val="16"/>
        <w:rPr>
          <w:color w:val="auto"/>
          <w:highlight w:val="none"/>
        </w:rPr>
      </w:pPr>
    </w:p>
    <w:p>
      <w:pPr>
        <w:pStyle w:val="2"/>
        <w:numPr>
          <w:ilvl w:val="0"/>
          <w:numId w:val="2"/>
        </w:numPr>
        <w:spacing w:before="120" w:after="120" w:line="360" w:lineRule="auto"/>
        <w:ind w:left="0"/>
        <w:jc w:val="center"/>
        <w:rPr>
          <w:rFonts w:ascii="黑体" w:hAnsi="黑体" w:eastAsia="黑体" w:cs="黑体"/>
          <w:color w:val="auto"/>
          <w:sz w:val="36"/>
          <w:szCs w:val="36"/>
          <w:highlight w:val="none"/>
        </w:rPr>
      </w:pPr>
      <w:r>
        <w:rPr>
          <w:rFonts w:hint="eastAsia" w:ascii="黑体" w:hAnsi="黑体" w:eastAsia="黑体" w:cs="黑体"/>
          <w:color w:val="auto"/>
          <w:sz w:val="36"/>
          <w:szCs w:val="36"/>
          <w:highlight w:val="none"/>
        </w:rPr>
        <w:t xml:space="preserve"> </w:t>
      </w:r>
      <w:bookmarkStart w:id="82" w:name="_Toc32228"/>
      <w:r>
        <w:rPr>
          <w:rFonts w:hint="eastAsia" w:ascii="黑体" w:hAnsi="黑体" w:eastAsia="黑体" w:cs="黑体"/>
          <w:color w:val="auto"/>
          <w:sz w:val="36"/>
          <w:szCs w:val="36"/>
          <w:highlight w:val="none"/>
        </w:rPr>
        <w:t>金碧镇国土空间规划指引</w:t>
      </w:r>
      <w:bookmarkEnd w:id="82"/>
    </w:p>
    <w:p>
      <w:pPr>
        <w:keepNext/>
        <w:keepLines/>
        <w:numPr>
          <w:ilvl w:val="0"/>
          <w:numId w:val="13"/>
        </w:numPr>
        <w:spacing w:before="78" w:beforeLines="25" w:after="78" w:afterLines="25" w:line="700" w:lineRule="exact"/>
        <w:ind w:left="0" w:firstLine="0"/>
        <w:jc w:val="center"/>
        <w:outlineLvl w:val="1"/>
        <w:rPr>
          <w:rFonts w:ascii="黑体" w:hAnsi="黑体" w:eastAsia="黑体" w:cs="黑体"/>
          <w:b/>
          <w:bCs/>
          <w:color w:val="auto"/>
          <w:sz w:val="32"/>
          <w:szCs w:val="32"/>
          <w:highlight w:val="none"/>
        </w:rPr>
      </w:pPr>
      <w:bookmarkStart w:id="83" w:name="_Toc3317"/>
      <w:r>
        <w:rPr>
          <w:rFonts w:hint="eastAsia" w:ascii="黑体" w:hAnsi="黑体" w:eastAsia="黑体" w:cs="黑体"/>
          <w:b/>
          <w:bCs/>
          <w:color w:val="auto"/>
          <w:sz w:val="32"/>
          <w:szCs w:val="32"/>
          <w:highlight w:val="none"/>
        </w:rPr>
        <w:t>镇规划定位与目标</w:t>
      </w:r>
      <w:bookmarkEnd w:id="83"/>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一、金碧镇总体定位</w:t>
      </w:r>
    </w:p>
    <w:p>
      <w:pPr>
        <w:pStyle w:val="12"/>
        <w:spacing w:line="560" w:lineRule="exact"/>
        <w:ind w:firstLine="640"/>
        <w:rPr>
          <w:rFonts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国家生态园林宜居城；以绿色食品加工、装备制造及健康产业为核心的绿色城乡融合高质量发展示范区；大姚县对外开放合作重要门户的核心支撑极；现代物流园区。</w:t>
      </w:r>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二、金碧镇总体目标</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到2025年，促进产城村融合发展，初步构建中心城区（镇区）、园区及村庄地区产业互为支撑，城乡区域更加协调的目标。初步形成与功能定位相适应的镇域国土空间格局，生态空间及生态环境得到有效保护，现代农业显著发展，带动一二三产业融合；人居环境得到明显提高，公共服务设施和基础设施支撑体系更加完善。</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到2035年，全面实现产城村融合、生态宜居、综合服务配套完善的镇发展目标。充分发挥大姚县核心产业引擎和促进区域协调高质量发展的重要作用，辐射带动和服务周边地区发展；规模适度、功能完善、综合带动能力强的生态园林宜居城基本建成；现代物流园区基本建成，建成绿色食品加工、健康产业基地。</w:t>
      </w:r>
    </w:p>
    <w:p>
      <w:pPr>
        <w:keepNext/>
        <w:keepLines/>
        <w:numPr>
          <w:ilvl w:val="0"/>
          <w:numId w:val="13"/>
        </w:numPr>
        <w:spacing w:before="78" w:beforeLines="25" w:after="78" w:afterLines="25" w:line="700" w:lineRule="exact"/>
        <w:ind w:left="0" w:firstLine="0"/>
        <w:jc w:val="center"/>
        <w:outlineLvl w:val="1"/>
        <w:rPr>
          <w:rFonts w:ascii="黑体" w:hAnsi="黑体" w:eastAsia="黑体" w:cs="黑体"/>
          <w:b/>
          <w:bCs/>
          <w:color w:val="auto"/>
          <w:sz w:val="32"/>
          <w:szCs w:val="32"/>
          <w:highlight w:val="none"/>
        </w:rPr>
      </w:pPr>
      <w:bookmarkStart w:id="84" w:name="_Toc4223"/>
      <w:r>
        <w:rPr>
          <w:rFonts w:hint="eastAsia" w:ascii="黑体" w:hAnsi="黑体" w:eastAsia="黑体" w:cs="黑体"/>
          <w:b/>
          <w:bCs/>
          <w:color w:val="auto"/>
          <w:sz w:val="32"/>
          <w:szCs w:val="32"/>
          <w:highlight w:val="none"/>
        </w:rPr>
        <w:t>镇国土空间结构和用地布局</w:t>
      </w:r>
      <w:bookmarkEnd w:id="84"/>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lang w:val="en-US" w:eastAsia="zh-CN"/>
        </w:rPr>
        <w:t>一</w:t>
      </w:r>
      <w:r>
        <w:rPr>
          <w:rFonts w:hint="eastAsia" w:ascii="黑体" w:hAnsi="黑体" w:eastAsia="黑体" w:cs="黑体"/>
          <w:b w:val="0"/>
          <w:bCs w:val="0"/>
          <w:color w:val="auto"/>
          <w:highlight w:val="none"/>
        </w:rPr>
        <w:t>、金碧镇域规划分区</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金碧镇划定农田保护区面积占镇域国土面积的11.76%。划定生态保护区占镇域国土面积的8.30%。划定生态控制区占镇域国土面积的40.4</w:t>
      </w:r>
      <w:r>
        <w:rPr>
          <w:rFonts w:hint="eastAsia" w:ascii="Times New Roman" w:hAnsi="Times New Roman" w:eastAsia="仿宋_GB2312" w:cs="Times New Roman"/>
          <w:color w:val="auto"/>
          <w:sz w:val="32"/>
          <w:szCs w:val="32"/>
          <w:highlight w:val="none"/>
          <w:lang w:val="en-US" w:eastAsia="zh-CN"/>
        </w:rPr>
        <w:t>5</w:t>
      </w:r>
      <w:r>
        <w:rPr>
          <w:rFonts w:hint="eastAsia" w:ascii="Times New Roman" w:hAnsi="Times New Roman" w:eastAsia="仿宋_GB2312" w:cs="Times New Roman"/>
          <w:color w:val="auto"/>
          <w:sz w:val="32"/>
          <w:szCs w:val="32"/>
          <w:highlight w:val="none"/>
        </w:rPr>
        <w:t>%。划定城镇发展区占镇域国土面积的2.</w:t>
      </w:r>
      <w:r>
        <w:rPr>
          <w:rFonts w:hint="eastAsia" w:ascii="Times New Roman" w:hAnsi="Times New Roman" w:eastAsia="仿宋_GB2312" w:cs="Times New Roman"/>
          <w:color w:val="auto"/>
          <w:sz w:val="32"/>
          <w:szCs w:val="32"/>
          <w:highlight w:val="none"/>
          <w:lang w:val="en-US" w:eastAsia="zh-CN"/>
        </w:rPr>
        <w:t>62</w:t>
      </w:r>
      <w:r>
        <w:rPr>
          <w:rFonts w:hint="eastAsia" w:ascii="Times New Roman" w:hAnsi="Times New Roman" w:eastAsia="仿宋_GB2312" w:cs="Times New Roman"/>
          <w:color w:val="auto"/>
          <w:sz w:val="32"/>
          <w:szCs w:val="32"/>
          <w:highlight w:val="none"/>
        </w:rPr>
        <w:t>%。划定矿产能源发展区占镇域国土面积的0.3</w:t>
      </w:r>
      <w:r>
        <w:rPr>
          <w:rFonts w:hint="eastAsia" w:ascii="Times New Roman" w:hAnsi="Times New Roman" w:eastAsia="仿宋_GB2312" w:cs="Times New Roman"/>
          <w:color w:val="auto"/>
          <w:sz w:val="32"/>
          <w:szCs w:val="32"/>
          <w:highlight w:val="none"/>
          <w:lang w:val="en-US" w:eastAsia="zh-CN"/>
        </w:rPr>
        <w:t>5</w:t>
      </w: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划定乡村发展区占镇域国土面积的</w:t>
      </w:r>
      <w:r>
        <w:rPr>
          <w:rFonts w:hint="eastAsia" w:ascii="Times New Roman" w:hAnsi="Times New Roman" w:eastAsia="仿宋_GB2312" w:cs="Times New Roman"/>
          <w:color w:val="auto"/>
          <w:sz w:val="32"/>
          <w:szCs w:val="32"/>
          <w:highlight w:val="none"/>
          <w:lang w:val="en-US" w:eastAsia="zh-CN"/>
        </w:rPr>
        <w:t>36.52</w:t>
      </w:r>
      <w:r>
        <w:rPr>
          <w:rFonts w:hint="eastAsia" w:ascii="Times New Roman" w:hAnsi="Times New Roman" w:eastAsia="仿宋_GB2312" w:cs="Times New Roman"/>
          <w:color w:val="auto"/>
          <w:sz w:val="32"/>
          <w:szCs w:val="32"/>
          <w:highlight w:val="none"/>
        </w:rPr>
        <w:t>%。</w:t>
      </w:r>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lang w:val="en-US" w:eastAsia="zh-CN"/>
        </w:rPr>
        <w:t>二</w:t>
      </w:r>
      <w:r>
        <w:rPr>
          <w:rFonts w:hint="eastAsia" w:ascii="黑体" w:hAnsi="黑体" w:eastAsia="黑体" w:cs="黑体"/>
          <w:b w:val="0"/>
          <w:bCs w:val="0"/>
          <w:color w:val="auto"/>
          <w:highlight w:val="none"/>
        </w:rPr>
        <w:t>、金碧镇用地结构和布局</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保持农业用地稳定，保障区域粮食安全；满足生态保护用地需求；合理控制优化建设用地，满足城乡发展和产业空间需求。</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科学保障农业用地。</w:t>
      </w:r>
      <w:r>
        <w:rPr>
          <w:rFonts w:hint="eastAsia" w:ascii="Times New Roman" w:hAnsi="Times New Roman" w:eastAsia="仿宋_GB2312" w:cs="Times New Roman"/>
          <w:color w:val="auto"/>
          <w:sz w:val="32"/>
          <w:szCs w:val="32"/>
          <w:highlight w:val="none"/>
        </w:rPr>
        <w:t>落实耕地及永久基本农田保护要求，以农业生产适宜区为基础，坚持以水定地，优化调整耕地规模与布局；保障蔬菜等重要农产品有效供给，合理引导农业结构向有利于农用地保护与利用的方向调整；提高农业现代化水平，强化农业设施建设。</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优化利用建设用地。</w:t>
      </w:r>
      <w:r>
        <w:rPr>
          <w:rFonts w:hint="eastAsia" w:ascii="Times New Roman" w:hAnsi="Times New Roman" w:eastAsia="仿宋_GB2312" w:cs="Times New Roman"/>
          <w:color w:val="auto"/>
          <w:sz w:val="32"/>
          <w:szCs w:val="32"/>
          <w:highlight w:val="none"/>
        </w:rPr>
        <w:t>优先保障区域重大战略项目、民生发展以及交通及能源等基础设施建设，严格控制低效产业用地规模。优化整理村庄居民点布局，盘活存量建设用地，腾挪空间优先保障农村一二三产业融合发展用地需求。</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加强保护自然保护用地。</w:t>
      </w:r>
      <w:r>
        <w:rPr>
          <w:rFonts w:hint="eastAsia" w:ascii="Times New Roman" w:hAnsi="Times New Roman" w:eastAsia="仿宋_GB2312" w:cs="Times New Roman"/>
          <w:color w:val="auto"/>
          <w:sz w:val="32"/>
          <w:szCs w:val="32"/>
          <w:highlight w:val="none"/>
        </w:rPr>
        <w:t>保护湖泊、水库、水系、湿地等重要生态功能用地，稳定现状湿地规模，增加陆地水域面积，保障生态修复用地需求，提升土地生态化水平与生态服务功能。</w:t>
      </w:r>
    </w:p>
    <w:p>
      <w:pPr>
        <w:pStyle w:val="4"/>
        <w:keepNext/>
        <w:keepLines/>
        <w:pageBreakBefore w:val="0"/>
        <w:widowControl w:val="0"/>
        <w:numPr>
          <w:ilvl w:val="2"/>
          <w:numId w:val="0"/>
        </w:numPr>
        <w:kinsoku/>
        <w:wordWrap/>
        <w:overflowPunct/>
        <w:topLinePunct w:val="0"/>
        <w:autoSpaceDE/>
        <w:autoSpaceDN/>
        <w:bidi w:val="0"/>
        <w:adjustRightInd/>
        <w:snapToGrid/>
        <w:spacing w:before="0" w:after="0" w:line="560" w:lineRule="exact"/>
        <w:ind w:firstLine="640" w:firstLineChars="200"/>
        <w:textAlignment w:val="auto"/>
        <w:rPr>
          <w:rFonts w:ascii="黑体" w:hAnsi="黑体" w:eastAsia="黑体" w:cs="黑体"/>
          <w:b w:val="0"/>
          <w:bCs w:val="0"/>
          <w:color w:val="auto"/>
          <w:highlight w:val="none"/>
        </w:rPr>
      </w:pPr>
      <w:r>
        <w:rPr>
          <w:rFonts w:hint="eastAsia" w:ascii="黑体" w:hAnsi="黑体" w:eastAsia="黑体" w:cs="黑体"/>
          <w:b w:val="0"/>
          <w:bCs w:val="0"/>
          <w:color w:val="auto"/>
          <w:highlight w:val="none"/>
          <w:lang w:val="en-US" w:eastAsia="zh-CN"/>
        </w:rPr>
        <w:t>三</w:t>
      </w:r>
      <w:r>
        <w:rPr>
          <w:rFonts w:hint="eastAsia" w:ascii="黑体" w:hAnsi="黑体" w:eastAsia="黑体" w:cs="黑体"/>
          <w:b w:val="0"/>
          <w:bCs w:val="0"/>
          <w:color w:val="auto"/>
          <w:highlight w:val="none"/>
        </w:rPr>
        <w:t>、金碧镇留白空间规划</w:t>
      </w:r>
    </w:p>
    <w:p>
      <w:pPr>
        <w:spacing w:line="560" w:lineRule="exact"/>
        <w:ind w:firstLine="640" w:firstLineChars="200"/>
        <w:rPr>
          <w:rFonts w:ascii="Times New Roman" w:hAnsi="Times New Roman" w:eastAsia="仿宋_GB2312" w:cs="Times New Roman"/>
          <w:color w:val="auto"/>
          <w:sz w:val="32"/>
          <w:szCs w:val="32"/>
          <w:highlight w:val="none"/>
        </w:rPr>
      </w:pPr>
      <w:bookmarkStart w:id="85" w:name="_Toc30785"/>
      <w:r>
        <w:rPr>
          <w:rFonts w:ascii="Times New Roman" w:hAnsi="Times New Roman" w:eastAsia="仿宋_GB2312" w:cs="Times New Roman"/>
          <w:color w:val="auto"/>
          <w:sz w:val="32"/>
          <w:szCs w:val="32"/>
          <w:highlight w:val="none"/>
        </w:rPr>
        <w:t>科学预留一定比例的留白区，为金碧镇未来发展留有开发空间，为发展保留更多弹性空间，提高规划的包容性和准确性，为后期合理调节城乡用地总量和结构做好准备</w:t>
      </w:r>
      <w:r>
        <w:rPr>
          <w:rFonts w:hint="eastAsia" w:ascii="Times New Roman" w:hAnsi="Times New Roman" w:eastAsia="仿宋_GB2312" w:cs="Times New Roman"/>
          <w:color w:val="auto"/>
          <w:sz w:val="32"/>
          <w:szCs w:val="32"/>
          <w:highlight w:val="none"/>
        </w:rPr>
        <w:t>。</w:t>
      </w:r>
    </w:p>
    <w:p>
      <w:pPr>
        <w:keepNext/>
        <w:keepLines/>
        <w:numPr>
          <w:ilvl w:val="0"/>
          <w:numId w:val="13"/>
        </w:numPr>
        <w:spacing w:before="78" w:beforeLines="25" w:after="78" w:afterLines="25" w:line="700" w:lineRule="exact"/>
        <w:ind w:left="0" w:firstLine="0"/>
        <w:jc w:val="center"/>
        <w:outlineLvl w:val="1"/>
        <w:rPr>
          <w:rFonts w:ascii="黑体" w:hAnsi="黑体" w:eastAsia="黑体" w:cs="黑体"/>
          <w:b/>
          <w:bCs/>
          <w:color w:val="auto"/>
          <w:sz w:val="32"/>
          <w:szCs w:val="32"/>
          <w:highlight w:val="none"/>
        </w:rPr>
      </w:pPr>
      <w:bookmarkStart w:id="86" w:name="_Toc11485"/>
      <w:r>
        <w:rPr>
          <w:rFonts w:hint="eastAsia" w:ascii="黑体" w:hAnsi="黑体" w:eastAsia="黑体" w:cs="黑体"/>
          <w:b/>
          <w:bCs/>
          <w:color w:val="auto"/>
          <w:sz w:val="32"/>
          <w:szCs w:val="32"/>
          <w:highlight w:val="none"/>
        </w:rPr>
        <w:t>城乡融合发展与新型城镇化</w:t>
      </w:r>
      <w:bookmarkEnd w:id="86"/>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一、镇人口规模</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到2035年，金碧镇常住人口达到10.20万人。</w:t>
      </w:r>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二、镇村体系规划</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以促进城乡融合，引导村庄合理布局、促进农村人口适</w:t>
      </w:r>
    </w:p>
    <w:p>
      <w:pPr>
        <w:spacing w:line="560" w:lineRule="exact"/>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度聚集为目标，规划构建大姚县“中心城区—中心村—一般村”三级城镇村体系结构。</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楷体" w:cs="Times New Roman"/>
          <w:color w:val="auto"/>
          <w:sz w:val="32"/>
          <w:szCs w:val="32"/>
          <w:highlight w:val="none"/>
        </w:rPr>
        <w:t>中心城区。</w:t>
      </w:r>
      <w:r>
        <w:rPr>
          <w:rFonts w:hint="eastAsia" w:ascii="Times New Roman" w:hAnsi="Times New Roman" w:eastAsia="仿宋_GB2312" w:cs="Times New Roman"/>
          <w:color w:val="auto"/>
          <w:sz w:val="32"/>
          <w:szCs w:val="32"/>
          <w:highlight w:val="none"/>
        </w:rPr>
        <w:t>为县政府和镇政府所在地。是大姚县政治、经济、文化中心，重点提升人口、产业集聚能力，推进基础设施和公共服务提质升级，强化城区用地等要素保障，提升县城能级和核心竞争力。</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楷体" w:cs="Times New Roman"/>
          <w:color w:val="auto"/>
          <w:sz w:val="32"/>
          <w:szCs w:val="32"/>
          <w:highlight w:val="none"/>
        </w:rPr>
        <w:t>中心村</w:t>
      </w:r>
      <w:r>
        <w:rPr>
          <w:rFonts w:hint="eastAsia" w:ascii="Times New Roman" w:hAnsi="Times New Roman" w:eastAsia="楷体" w:cs="Times New Roman"/>
          <w:color w:val="auto"/>
          <w:sz w:val="32"/>
          <w:szCs w:val="32"/>
          <w:highlight w:val="none"/>
          <w:lang w:val="en-US" w:eastAsia="zh-CN"/>
        </w:rPr>
        <w:t>17</w:t>
      </w:r>
      <w:r>
        <w:rPr>
          <w:rFonts w:ascii="Times New Roman" w:hAnsi="Times New Roman" w:eastAsia="楷体" w:cs="Times New Roman"/>
          <w:color w:val="auto"/>
          <w:sz w:val="32"/>
          <w:szCs w:val="32"/>
          <w:highlight w:val="none"/>
        </w:rPr>
        <w:t>个。</w:t>
      </w:r>
      <w:r>
        <w:rPr>
          <w:rFonts w:hint="eastAsia" w:ascii="Times New Roman" w:hAnsi="Times New Roman" w:eastAsia="仿宋_GB2312" w:cs="Times New Roman"/>
          <w:color w:val="auto"/>
          <w:sz w:val="32"/>
          <w:szCs w:val="32"/>
          <w:highlight w:val="none"/>
        </w:rPr>
        <w:t>为行政村村委会所在地，不包括融入中心城区发展的</w:t>
      </w:r>
      <w:r>
        <w:rPr>
          <w:rFonts w:hint="eastAsia" w:ascii="Times New Roman" w:hAnsi="Times New Roman" w:eastAsia="仿宋_GB2312" w:cs="Times New Roman"/>
          <w:color w:val="auto"/>
          <w:sz w:val="32"/>
          <w:szCs w:val="32"/>
          <w:highlight w:val="none"/>
          <w:lang w:val="en-US" w:eastAsia="zh-CN"/>
        </w:rPr>
        <w:t>10</w:t>
      </w:r>
      <w:r>
        <w:rPr>
          <w:rFonts w:hint="eastAsia" w:ascii="Times New Roman" w:hAnsi="Times New Roman" w:eastAsia="仿宋_GB2312" w:cs="Times New Roman"/>
          <w:color w:val="auto"/>
          <w:sz w:val="32"/>
          <w:szCs w:val="32"/>
          <w:highlight w:val="none"/>
        </w:rPr>
        <w:t>个城郊融合型社区或行政村。主要承担地区村庄管理中心、生产生活服务中心和交通枢纽等职能。人口及用地规模可在现状基础上有所提升，引导偏远地区村民向中心村集聚，以降低服务设施的配套成本。</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楷体" w:cs="Times New Roman"/>
          <w:color w:val="auto"/>
          <w:sz w:val="32"/>
          <w:szCs w:val="32"/>
          <w:highlight w:val="none"/>
        </w:rPr>
        <w:t>一般村208个。</w:t>
      </w:r>
      <w:r>
        <w:rPr>
          <w:rFonts w:hint="eastAsia" w:ascii="Times New Roman" w:hAnsi="Times New Roman" w:eastAsia="仿宋_GB2312" w:cs="Times New Roman"/>
          <w:color w:val="auto"/>
          <w:sz w:val="32"/>
          <w:szCs w:val="32"/>
          <w:highlight w:val="none"/>
        </w:rPr>
        <w:t>一般村原则上不进行扩张，鼓励距离中心村较远的一般村向中心村集中。</w:t>
      </w:r>
    </w:p>
    <w:bookmarkEnd w:id="85"/>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lang w:val="en-US" w:eastAsia="zh-CN"/>
        </w:rPr>
        <w:t>三</w:t>
      </w:r>
      <w:r>
        <w:rPr>
          <w:rFonts w:hint="eastAsia" w:ascii="黑体" w:hAnsi="黑体" w:eastAsia="黑体" w:cs="黑体"/>
          <w:b w:val="0"/>
          <w:bCs w:val="0"/>
          <w:color w:val="auto"/>
          <w:highlight w:val="none"/>
        </w:rPr>
        <w:t>、产业空间布局</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构建金碧镇“一心、两带、两园”的产业空间布局。</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“一心”</w:t>
      </w:r>
      <w:r>
        <w:rPr>
          <w:rFonts w:hint="eastAsia" w:ascii="Times New Roman" w:hAnsi="Times New Roman" w:eastAsia="仿宋_GB2312" w:cs="Times New Roman"/>
          <w:color w:val="auto"/>
          <w:sz w:val="32"/>
          <w:szCs w:val="32"/>
          <w:highlight w:val="none"/>
        </w:rPr>
        <w:t>：以大姚县城为发展核心，辐射全县及金碧镇周边区域，整体带动金碧镇产业发展。</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“两带”：</w:t>
      </w:r>
      <w:r>
        <w:rPr>
          <w:rFonts w:hint="eastAsia" w:ascii="Times New Roman" w:hAnsi="Times New Roman" w:eastAsia="仿宋_GB2312" w:cs="Times New Roman"/>
          <w:color w:val="auto"/>
          <w:sz w:val="32"/>
          <w:szCs w:val="32"/>
          <w:highlight w:val="none"/>
        </w:rPr>
        <w:t>南北以“南华—永仁”公路及沿线为主要发展带，蜻蛉河相伴，水利条件好，利于农业、农旅融合及乡村旅游等产业发展；东西结合元大高速、“彩云—祥云”公路等发展带，连通新街镇和龙街镇，促进商贸、运输等服务性产业发展。</w:t>
      </w:r>
    </w:p>
    <w:p>
      <w:pPr>
        <w:spacing w:line="560" w:lineRule="exact"/>
        <w:ind w:firstLine="640" w:firstLineChars="200"/>
        <w:rPr>
          <w:color w:val="auto"/>
          <w:highlight w:val="none"/>
        </w:rPr>
      </w:pPr>
      <w:r>
        <w:rPr>
          <w:rFonts w:hint="eastAsia" w:ascii="楷体" w:hAnsi="楷体" w:eastAsia="楷体" w:cs="楷体"/>
          <w:color w:val="auto"/>
          <w:sz w:val="32"/>
          <w:szCs w:val="32"/>
          <w:highlight w:val="none"/>
        </w:rPr>
        <w:t>“两园”：</w:t>
      </w:r>
      <w:r>
        <w:rPr>
          <w:rFonts w:hint="eastAsia" w:ascii="Times New Roman" w:hAnsi="Times New Roman" w:eastAsia="仿宋_GB2312" w:cs="Times New Roman"/>
          <w:color w:val="auto"/>
          <w:sz w:val="32"/>
          <w:szCs w:val="32"/>
          <w:highlight w:val="none"/>
        </w:rPr>
        <w:t>金碧产业园区，以农产品加工为主，建设绿色食品加工基地，发展大姚核桃、野坝子蜂蜜、小把粉丝、白芸豆、蚕豆、魔芋、辣椒及黑山羊等绿色食品加工。南山坝装备制造产业园，以装备制造业为主，打造全州乃至全省重要的装备制造业产业基地。</w:t>
      </w:r>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lang w:val="en-US" w:eastAsia="zh-CN"/>
        </w:rPr>
        <w:t>四</w:t>
      </w:r>
      <w:r>
        <w:rPr>
          <w:rFonts w:hint="eastAsia" w:ascii="黑体" w:hAnsi="黑体" w:eastAsia="黑体" w:cs="黑体"/>
          <w:b w:val="0"/>
          <w:bCs w:val="0"/>
          <w:color w:val="auto"/>
          <w:highlight w:val="none"/>
        </w:rPr>
        <w:t>、配套设施布局</w:t>
      </w:r>
    </w:p>
    <w:p>
      <w:pPr>
        <w:numPr>
          <w:ilvl w:val="0"/>
          <w:numId w:val="14"/>
        </w:numPr>
        <w:spacing w:line="560" w:lineRule="exact"/>
        <w:ind w:firstLine="640" w:firstLineChars="200"/>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重大基础设施和公共服务设施配置</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涉及金碧镇的县级以上重大基础设施和公共服务设施按照本规划中的县域和中心城区相关设施配置要求实施。</w:t>
      </w:r>
    </w:p>
    <w:p>
      <w:pPr>
        <w:numPr>
          <w:ilvl w:val="0"/>
          <w:numId w:val="14"/>
        </w:numPr>
        <w:spacing w:line="560" w:lineRule="exact"/>
        <w:ind w:firstLine="640" w:firstLineChars="200"/>
        <w:rPr>
          <w:rFonts w:hint="default" w:ascii="Times New Roman" w:hAnsi="Times New Roman" w:eastAsia="楷体" w:cs="Times New Roman"/>
          <w:color w:val="auto"/>
          <w:sz w:val="32"/>
          <w:szCs w:val="32"/>
          <w:highlight w:val="none"/>
        </w:rPr>
      </w:pPr>
      <w:r>
        <w:rPr>
          <w:rFonts w:hint="eastAsia" w:ascii="Times New Roman" w:hAnsi="Times New Roman" w:eastAsia="楷体" w:cs="Times New Roman"/>
          <w:color w:val="auto"/>
          <w:sz w:val="32"/>
          <w:szCs w:val="32"/>
          <w:highlight w:val="none"/>
        </w:rPr>
        <w:t>完善农村饮水安全设施建设</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确保水安全。</w:t>
      </w:r>
      <w:r>
        <w:rPr>
          <w:rFonts w:hint="eastAsia" w:ascii="Times New Roman" w:hAnsi="Times New Roman" w:eastAsia="仿宋_GB2312" w:cs="Times New Roman"/>
          <w:color w:val="auto"/>
          <w:sz w:val="32"/>
          <w:szCs w:val="32"/>
          <w:highlight w:val="none"/>
        </w:rPr>
        <w:t xml:space="preserve">确保金碧镇农村人畜饮水安全，以河、库、塘、渠（管）互联互通为重点，设施乡镇五小水利建设，提升抵御水旱灾害水平。 </w:t>
      </w:r>
    </w:p>
    <w:p>
      <w:pPr>
        <w:spacing w:line="560" w:lineRule="exact"/>
        <w:ind w:firstLine="640" w:firstLineChars="200"/>
        <w:rPr>
          <w:color w:val="auto"/>
          <w:highlight w:val="none"/>
        </w:rPr>
      </w:pPr>
      <w:r>
        <w:rPr>
          <w:rFonts w:hint="eastAsia" w:ascii="楷体" w:hAnsi="楷体" w:eastAsia="楷体" w:cs="楷体"/>
          <w:color w:val="auto"/>
          <w:sz w:val="32"/>
          <w:szCs w:val="32"/>
          <w:highlight w:val="none"/>
        </w:rPr>
        <w:t>加快水网改造建设。</w:t>
      </w:r>
      <w:r>
        <w:rPr>
          <w:rFonts w:hint="eastAsia" w:ascii="Times New Roman" w:hAnsi="Times New Roman" w:eastAsia="仿宋_GB2312" w:cs="Times New Roman"/>
          <w:color w:val="auto"/>
          <w:sz w:val="32"/>
          <w:szCs w:val="32"/>
          <w:highlight w:val="none"/>
        </w:rPr>
        <w:t>加强金碧镇农田水利、工程性缺水与供排水管网等薄弱环节建设，全面补齐水网发展短板。加大中小型水源管理与保护，促进生态系统平衡稳定和水资源永续利用。</w:t>
      </w:r>
    </w:p>
    <w:p>
      <w:pPr>
        <w:numPr>
          <w:ilvl w:val="0"/>
          <w:numId w:val="14"/>
        </w:numPr>
        <w:spacing w:line="560" w:lineRule="exact"/>
        <w:ind w:firstLine="640" w:firstLineChars="200"/>
        <w:rPr>
          <w:rFonts w:hint="default" w:ascii="Times New Roman" w:hAnsi="Times New Roman" w:eastAsia="楷体" w:cs="Times New Roman"/>
          <w:color w:val="auto"/>
          <w:sz w:val="32"/>
          <w:szCs w:val="32"/>
          <w:highlight w:val="none"/>
        </w:rPr>
      </w:pPr>
      <w:r>
        <w:rPr>
          <w:rFonts w:hint="eastAsia" w:ascii="Times New Roman" w:hAnsi="Times New Roman" w:eastAsia="楷体" w:cs="Times New Roman"/>
          <w:color w:val="auto"/>
          <w:sz w:val="32"/>
          <w:szCs w:val="32"/>
          <w:highlight w:val="none"/>
        </w:rPr>
        <w:t>加密</w:t>
      </w:r>
      <w:r>
        <w:rPr>
          <w:rFonts w:hint="default" w:ascii="Times New Roman" w:hAnsi="Times New Roman" w:eastAsia="楷体" w:cs="Times New Roman"/>
          <w:color w:val="auto"/>
          <w:sz w:val="32"/>
          <w:szCs w:val="32"/>
          <w:highlight w:val="none"/>
        </w:rPr>
        <w:t>镇村交通网</w:t>
      </w:r>
    </w:p>
    <w:p>
      <w:pPr>
        <w:spacing w:line="560" w:lineRule="exact"/>
        <w:ind w:firstLine="640" w:firstLineChars="200"/>
        <w:rPr>
          <w:rFonts w:ascii="Times New Roman" w:hAnsi="Times New Roman" w:eastAsia="仿宋_GB2312" w:cs="Times New Roman"/>
          <w:color w:val="auto"/>
          <w:sz w:val="32"/>
          <w:szCs w:val="32"/>
          <w:highlight w:val="none"/>
        </w:rPr>
      </w:pPr>
      <w:r>
        <w:rPr>
          <w:rFonts w:ascii="楷体" w:hAnsi="楷体" w:eastAsia="楷体" w:cs="楷体"/>
          <w:color w:val="auto"/>
          <w:sz w:val="32"/>
          <w:szCs w:val="32"/>
          <w:highlight w:val="none"/>
        </w:rPr>
        <w:t>全面推进</w:t>
      </w:r>
      <w:r>
        <w:rPr>
          <w:rFonts w:hint="eastAsia" w:ascii="楷体" w:hAnsi="楷体" w:eastAsia="楷体" w:cs="楷体"/>
          <w:color w:val="auto"/>
          <w:sz w:val="32"/>
          <w:szCs w:val="32"/>
          <w:highlight w:val="none"/>
        </w:rPr>
        <w:t>城乡</w:t>
      </w:r>
      <w:r>
        <w:rPr>
          <w:rFonts w:ascii="楷体" w:hAnsi="楷体" w:eastAsia="楷体" w:cs="楷体"/>
          <w:color w:val="auto"/>
          <w:sz w:val="32"/>
          <w:szCs w:val="32"/>
          <w:highlight w:val="none"/>
        </w:rPr>
        <w:t>路网建设。</w:t>
      </w:r>
      <w:r>
        <w:rPr>
          <w:rFonts w:ascii="Times New Roman" w:hAnsi="Times New Roman" w:eastAsia="仿宋_GB2312" w:cs="Times New Roman"/>
          <w:color w:val="auto"/>
          <w:sz w:val="32"/>
          <w:szCs w:val="32"/>
          <w:highlight w:val="none"/>
        </w:rPr>
        <w:t>以建设乡村“四好农村路”为目标，</w:t>
      </w:r>
      <w:r>
        <w:rPr>
          <w:rFonts w:hint="eastAsia" w:ascii="Times New Roman" w:hAnsi="Times New Roman" w:eastAsia="仿宋_GB2312" w:cs="Times New Roman"/>
          <w:color w:val="auto"/>
          <w:sz w:val="32"/>
          <w:szCs w:val="32"/>
          <w:highlight w:val="none"/>
        </w:rPr>
        <w:t>促进金碧镇所有行政村通水泥、沥青等四级公路，所有自然村通硬化路面。实施以通乡镇三级路和30户以上村组道路硬化为重点的“四好农村路”项目、金碧镇农村公路安防工程。</w:t>
      </w:r>
    </w:p>
    <w:p>
      <w:pPr>
        <w:spacing w:line="560" w:lineRule="exact"/>
        <w:ind w:firstLine="640" w:firstLineChars="200"/>
        <w:rPr>
          <w:rFonts w:ascii="Times New Roman" w:hAnsi="Times New Roman" w:eastAsia="仿宋_GB2312" w:cs="Times New Roman"/>
          <w:color w:val="auto"/>
          <w:sz w:val="32"/>
          <w:szCs w:val="32"/>
          <w:highlight w:val="none"/>
        </w:rPr>
      </w:pPr>
      <w:r>
        <w:rPr>
          <w:rFonts w:ascii="楷体" w:hAnsi="楷体" w:eastAsia="楷体" w:cs="楷体"/>
          <w:color w:val="auto"/>
          <w:sz w:val="32"/>
          <w:szCs w:val="32"/>
          <w:highlight w:val="none"/>
        </w:rPr>
        <w:t>推进城乡客运一体化。</w:t>
      </w:r>
      <w:r>
        <w:rPr>
          <w:rFonts w:ascii="Times New Roman" w:hAnsi="Times New Roman" w:eastAsia="仿宋_GB2312" w:cs="Times New Roman"/>
          <w:color w:val="auto"/>
          <w:sz w:val="32"/>
          <w:szCs w:val="32"/>
          <w:highlight w:val="none"/>
        </w:rPr>
        <w:t>完善</w:t>
      </w:r>
      <w:r>
        <w:rPr>
          <w:rFonts w:hint="eastAsia" w:ascii="Times New Roman" w:hAnsi="Times New Roman" w:eastAsia="仿宋_GB2312" w:cs="Times New Roman"/>
          <w:color w:val="auto"/>
          <w:sz w:val="32"/>
          <w:szCs w:val="32"/>
          <w:highlight w:val="none"/>
        </w:rPr>
        <w:t>金碧镇域</w:t>
      </w:r>
      <w:r>
        <w:rPr>
          <w:rFonts w:ascii="Times New Roman" w:hAnsi="Times New Roman" w:eastAsia="仿宋_GB2312" w:cs="Times New Roman"/>
          <w:color w:val="auto"/>
          <w:sz w:val="32"/>
          <w:szCs w:val="32"/>
          <w:highlight w:val="none"/>
        </w:rPr>
        <w:t>城乡公共交通系统，推动中心城区交通体系向周边发展，推进有条件的村组实施农村客运班线公交化改造，鼓励扶持村镇公交发展。</w:t>
      </w:r>
    </w:p>
    <w:p>
      <w:pPr>
        <w:spacing w:line="560" w:lineRule="exact"/>
        <w:ind w:firstLine="640" w:firstLineChars="200"/>
        <w:rPr>
          <w:rFonts w:ascii="Times New Roman" w:hAnsi="Times New Roman" w:eastAsia="仿宋_GB2312" w:cs="Times New Roman"/>
          <w:color w:val="auto"/>
          <w:sz w:val="32"/>
          <w:szCs w:val="32"/>
          <w:highlight w:val="none"/>
        </w:rPr>
      </w:pPr>
      <w:r>
        <w:rPr>
          <w:rFonts w:ascii="楷体" w:hAnsi="楷体" w:eastAsia="楷体" w:cs="楷体"/>
          <w:color w:val="auto"/>
          <w:sz w:val="32"/>
          <w:szCs w:val="32"/>
          <w:highlight w:val="none"/>
        </w:rPr>
        <w:t>加快构建农村物流网络。</w:t>
      </w:r>
      <w:r>
        <w:rPr>
          <w:rFonts w:ascii="Times New Roman" w:hAnsi="Times New Roman" w:eastAsia="仿宋_GB2312" w:cs="Times New Roman"/>
          <w:color w:val="auto"/>
          <w:sz w:val="32"/>
          <w:szCs w:val="32"/>
          <w:highlight w:val="none"/>
        </w:rPr>
        <w:t>扶持引进商贸、物流、供销</w:t>
      </w:r>
      <w:r>
        <w:rPr>
          <w:rFonts w:hint="eastAsia" w:ascii="Times New Roman" w:hAnsi="Times New Roman" w:eastAsia="仿宋_GB2312" w:cs="Times New Roman"/>
          <w:color w:val="auto"/>
          <w:sz w:val="32"/>
          <w:szCs w:val="32"/>
          <w:highlight w:val="none"/>
        </w:rPr>
        <w:t>及</w:t>
      </w:r>
      <w:r>
        <w:rPr>
          <w:rFonts w:ascii="Times New Roman" w:hAnsi="Times New Roman" w:eastAsia="仿宋_GB2312" w:cs="Times New Roman"/>
          <w:color w:val="auto"/>
          <w:sz w:val="32"/>
          <w:szCs w:val="32"/>
          <w:highlight w:val="none"/>
        </w:rPr>
        <w:t>运输等企业入村入镇，加大在农村网点布局。保障</w:t>
      </w:r>
      <w:r>
        <w:rPr>
          <w:rFonts w:hint="eastAsia" w:ascii="Times New Roman" w:hAnsi="Times New Roman" w:eastAsia="仿宋_GB2312" w:cs="Times New Roman"/>
          <w:color w:val="auto"/>
          <w:sz w:val="32"/>
          <w:szCs w:val="32"/>
          <w:highlight w:val="none"/>
        </w:rPr>
        <w:t>金碧</w:t>
      </w:r>
      <w:r>
        <w:rPr>
          <w:rFonts w:ascii="Times New Roman" w:hAnsi="Times New Roman" w:eastAsia="仿宋_GB2312" w:cs="Times New Roman"/>
          <w:color w:val="auto"/>
          <w:sz w:val="32"/>
          <w:szCs w:val="32"/>
          <w:highlight w:val="none"/>
        </w:rPr>
        <w:t>镇</w:t>
      </w:r>
      <w:r>
        <w:rPr>
          <w:rFonts w:hint="eastAsia" w:ascii="Times New Roman" w:hAnsi="Times New Roman" w:eastAsia="仿宋_GB2312" w:cs="Times New Roman"/>
          <w:color w:val="auto"/>
          <w:sz w:val="32"/>
          <w:szCs w:val="32"/>
          <w:highlight w:val="none"/>
        </w:rPr>
        <w:t>农村</w:t>
      </w:r>
      <w:r>
        <w:rPr>
          <w:rFonts w:ascii="Times New Roman" w:hAnsi="Times New Roman" w:eastAsia="仿宋_GB2312" w:cs="Times New Roman"/>
          <w:color w:val="auto"/>
          <w:sz w:val="32"/>
          <w:szCs w:val="32"/>
          <w:highlight w:val="none"/>
        </w:rPr>
        <w:t>物流设施节点建设。推动农村特色农产品的冷链建设，逐步形成城乡无缝连接</w:t>
      </w:r>
      <w:r>
        <w:rPr>
          <w:rFonts w:hint="eastAsia" w:ascii="Times New Roman" w:hAnsi="Times New Roman" w:eastAsia="仿宋_GB2312" w:cs="Times New Roman"/>
          <w:color w:val="auto"/>
          <w:sz w:val="32"/>
          <w:szCs w:val="32"/>
          <w:highlight w:val="none"/>
        </w:rPr>
        <w:t>的</w:t>
      </w:r>
      <w:r>
        <w:rPr>
          <w:rFonts w:ascii="Times New Roman" w:hAnsi="Times New Roman" w:eastAsia="仿宋_GB2312" w:cs="Times New Roman"/>
          <w:color w:val="auto"/>
          <w:sz w:val="32"/>
          <w:szCs w:val="32"/>
          <w:highlight w:val="none"/>
        </w:rPr>
        <w:t>冷链物流体系。创新乡村电商模式，发展新零售等业态，推进农产品电商物流配送和综合服务网络建设，培育电子商务示范村。</w:t>
      </w:r>
    </w:p>
    <w:p>
      <w:pPr>
        <w:numPr>
          <w:ilvl w:val="0"/>
          <w:numId w:val="14"/>
        </w:numPr>
        <w:spacing w:line="560" w:lineRule="exact"/>
        <w:ind w:firstLine="640" w:firstLineChars="200"/>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 xml:space="preserve">构建农村现代能源体系 </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开展农村电网改造提升。</w:t>
      </w:r>
      <w:r>
        <w:rPr>
          <w:rFonts w:ascii="Times New Roman" w:hAnsi="Times New Roman" w:eastAsia="仿宋_GB2312" w:cs="Times New Roman"/>
          <w:color w:val="auto"/>
          <w:sz w:val="32"/>
          <w:szCs w:val="32"/>
          <w:highlight w:val="none"/>
        </w:rPr>
        <w:t>提升农村供电能力和农网电压质量，</w:t>
      </w:r>
      <w:r>
        <w:rPr>
          <w:rFonts w:hint="eastAsia" w:ascii="Times New Roman" w:hAnsi="Times New Roman" w:eastAsia="仿宋_GB2312" w:cs="Times New Roman"/>
          <w:color w:val="auto"/>
          <w:sz w:val="32"/>
          <w:szCs w:val="32"/>
          <w:highlight w:val="none"/>
        </w:rPr>
        <w:t xml:space="preserve">完成农村电网中低压线路建设与改造。解决农村电网基础薄弱、网架不合理以及低电压、重过载等问题，加快新型农村电网和农业生产供电设施的升级改造。 </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优化农村能源消费结构。</w:t>
      </w:r>
      <w:r>
        <w:rPr>
          <w:rFonts w:hint="eastAsia" w:ascii="Times New Roman" w:hAnsi="Times New Roman" w:eastAsia="仿宋_GB2312" w:cs="Times New Roman"/>
          <w:color w:val="auto"/>
          <w:sz w:val="32"/>
          <w:szCs w:val="32"/>
          <w:highlight w:val="none"/>
        </w:rPr>
        <w:t>推进农村煤改电、煤改气，推动天然气管网基础设施建设及清洁能源改造建设，推进管道天然气支线管网和储备设施建设向农村延伸。积极推进农业光伏发电工程。发展农村可再生能源综合利用示范工程，开发利用农村沼气、农作物秸秆固化成型和气化燃料。</w:t>
      </w:r>
    </w:p>
    <w:p>
      <w:pPr>
        <w:numPr>
          <w:ilvl w:val="0"/>
          <w:numId w:val="14"/>
        </w:numPr>
        <w:spacing w:line="560" w:lineRule="exact"/>
        <w:ind w:firstLine="640" w:firstLineChars="200"/>
        <w:rPr>
          <w:rFonts w:hint="default" w:ascii="Times New Roman" w:hAnsi="Times New Roman" w:eastAsia="楷体" w:cs="Times New Roman"/>
          <w:color w:val="auto"/>
          <w:sz w:val="32"/>
          <w:szCs w:val="32"/>
          <w:highlight w:val="none"/>
        </w:rPr>
      </w:pPr>
      <w:r>
        <w:rPr>
          <w:rFonts w:hint="eastAsia" w:ascii="Times New Roman" w:hAnsi="Times New Roman" w:eastAsia="楷体" w:cs="Times New Roman"/>
          <w:color w:val="auto"/>
          <w:sz w:val="32"/>
          <w:szCs w:val="32"/>
          <w:highlight w:val="none"/>
        </w:rPr>
        <w:t>加强</w:t>
      </w:r>
      <w:r>
        <w:rPr>
          <w:rFonts w:hint="default" w:ascii="Times New Roman" w:hAnsi="Times New Roman" w:eastAsia="楷体" w:cs="Times New Roman"/>
          <w:color w:val="auto"/>
          <w:sz w:val="32"/>
          <w:szCs w:val="32"/>
          <w:highlight w:val="none"/>
        </w:rPr>
        <w:t>乡村</w:t>
      </w:r>
      <w:r>
        <w:rPr>
          <w:rFonts w:hint="eastAsia" w:ascii="Times New Roman" w:hAnsi="Times New Roman" w:eastAsia="楷体" w:cs="Times New Roman"/>
          <w:color w:val="auto"/>
          <w:sz w:val="32"/>
          <w:szCs w:val="32"/>
          <w:highlight w:val="none"/>
        </w:rPr>
        <w:t>智慧</w:t>
      </w:r>
      <w:r>
        <w:rPr>
          <w:rFonts w:hint="default" w:ascii="Times New Roman" w:hAnsi="Times New Roman" w:eastAsia="楷体" w:cs="Times New Roman"/>
          <w:color w:val="auto"/>
          <w:sz w:val="32"/>
          <w:szCs w:val="32"/>
          <w:highlight w:val="none"/>
        </w:rPr>
        <w:t xml:space="preserve">化建设 </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深化实施宽带乡村工程。</w:t>
      </w:r>
      <w:r>
        <w:rPr>
          <w:rFonts w:hint="eastAsia" w:ascii="Times New Roman" w:hAnsi="Times New Roman" w:eastAsia="仿宋_GB2312" w:cs="Times New Roman"/>
          <w:color w:val="auto"/>
          <w:sz w:val="32"/>
          <w:szCs w:val="32"/>
          <w:highlight w:val="none"/>
        </w:rPr>
        <w:t xml:space="preserve">利用光纤和新一代移动通信技术、下一代广播电视网技术，全面提升金碧镇宽带网络速度与性能，基本建成覆盖城乡、服务便捷、高速畅通、技术先进的宽带网络基础设施。 </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完善智慧化便民服务体系。</w:t>
      </w:r>
      <w:r>
        <w:rPr>
          <w:rFonts w:hint="eastAsia" w:ascii="Times New Roman" w:hAnsi="Times New Roman" w:eastAsia="仿宋_GB2312" w:cs="Times New Roman"/>
          <w:color w:val="auto"/>
          <w:sz w:val="32"/>
          <w:szCs w:val="32"/>
          <w:highlight w:val="none"/>
        </w:rPr>
        <w:t>推进建立以县级居民服务中心为主体、金碧镇便民服务中心为纽带、村便民服务站为延伸的三级便民服务体系，促进村、乡镇、县三级政务服务应用平台建设和融合。</w:t>
      </w:r>
    </w:p>
    <w:p>
      <w:pPr>
        <w:numPr>
          <w:ilvl w:val="0"/>
          <w:numId w:val="14"/>
        </w:numPr>
        <w:spacing w:line="560" w:lineRule="exact"/>
        <w:ind w:firstLine="640" w:firstLineChars="200"/>
        <w:rPr>
          <w:rFonts w:hint="default" w:ascii="Times New Roman" w:hAnsi="Times New Roman" w:eastAsia="楷体" w:cs="Times New Roman"/>
          <w:color w:val="auto"/>
          <w:sz w:val="32"/>
          <w:szCs w:val="32"/>
          <w:highlight w:val="none"/>
        </w:rPr>
      </w:pPr>
      <w:r>
        <w:rPr>
          <w:rFonts w:hint="eastAsia" w:ascii="Times New Roman" w:hAnsi="Times New Roman" w:eastAsia="楷体" w:cs="Times New Roman"/>
          <w:color w:val="auto"/>
          <w:sz w:val="32"/>
          <w:szCs w:val="32"/>
          <w:highlight w:val="none"/>
        </w:rPr>
        <w:t>加强村庄公共服务设施配置</w:t>
      </w:r>
      <w:r>
        <w:rPr>
          <w:rFonts w:hint="default" w:ascii="Times New Roman" w:hAnsi="Times New Roman" w:eastAsia="楷体" w:cs="Times New Roman"/>
          <w:color w:val="auto"/>
          <w:sz w:val="32"/>
          <w:szCs w:val="32"/>
          <w:highlight w:val="none"/>
        </w:rPr>
        <w:t xml:space="preserve"> </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按照本规划中的“乡村社区生活圈”及《云南省“多规合一”实用性村庄规划编制指南（试行）修订版》要求完善行政管理、教育、文体、医疗卫生、社会福利等设施配置。</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强化中心城区设施共享。</w:t>
      </w:r>
      <w:r>
        <w:rPr>
          <w:rFonts w:hint="eastAsia" w:ascii="Times New Roman" w:hAnsi="Times New Roman" w:eastAsia="仿宋_GB2312" w:cs="Times New Roman"/>
          <w:color w:val="auto"/>
          <w:sz w:val="32"/>
          <w:szCs w:val="32"/>
          <w:highlight w:val="none"/>
        </w:rPr>
        <w:t>加强以中心城区为核心的</w:t>
      </w:r>
      <w:r>
        <w:rPr>
          <w:rFonts w:ascii="Times New Roman" w:hAnsi="Times New Roman" w:eastAsia="仿宋_GB2312" w:cs="Times New Roman"/>
          <w:color w:val="auto"/>
          <w:sz w:val="32"/>
          <w:szCs w:val="32"/>
          <w:highlight w:val="none"/>
        </w:rPr>
        <w:t xml:space="preserve">30 </w:t>
      </w:r>
      <w:r>
        <w:rPr>
          <w:rFonts w:hint="eastAsia" w:ascii="Times New Roman" w:hAnsi="Times New Roman" w:eastAsia="仿宋_GB2312" w:cs="Times New Roman"/>
          <w:color w:val="auto"/>
          <w:sz w:val="32"/>
          <w:szCs w:val="32"/>
          <w:highlight w:val="none"/>
        </w:rPr>
        <w:t>分钟生活圈内近郊村与中心城区的联系，提升中心城区公共设施服务能力，除中心城区涉及社区、村委会外，重点覆盖</w:t>
      </w:r>
    </w:p>
    <w:p>
      <w:pPr>
        <w:spacing w:line="560" w:lineRule="exact"/>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 xml:space="preserve">黄海屯、龙林、平山、厂房、泗溪、范湾、三槐等镇域北部和中部村委会或社区。 </w:t>
      </w:r>
    </w:p>
    <w:p>
      <w:pPr>
        <w:spacing w:line="560" w:lineRule="exact"/>
        <w:ind w:firstLine="620" w:firstLineChars="200"/>
        <w:rPr>
          <w:color w:val="auto"/>
          <w:highlight w:val="none"/>
        </w:rPr>
      </w:pPr>
      <w:r>
        <w:rPr>
          <w:rFonts w:hint="eastAsia" w:ascii="楷体" w:hAnsi="楷体" w:eastAsia="楷体" w:cs="楷体"/>
          <w:color w:val="auto"/>
          <w:kern w:val="0"/>
          <w:sz w:val="31"/>
          <w:szCs w:val="31"/>
          <w:highlight w:val="none"/>
          <w:lang w:bidi="ar"/>
        </w:rPr>
        <w:t>提升中心村公共服务水平。</w:t>
      </w:r>
      <w:r>
        <w:rPr>
          <w:rFonts w:hint="eastAsia" w:ascii="仿宋_GB2312" w:hAnsi="宋体" w:eastAsia="仿宋_GB2312" w:cs="仿宋_GB2312"/>
          <w:color w:val="auto"/>
          <w:kern w:val="0"/>
          <w:sz w:val="31"/>
          <w:szCs w:val="31"/>
          <w:highlight w:val="none"/>
          <w:lang w:bidi="ar"/>
        </w:rPr>
        <w:t>充分发挥村庄自身特色，提升中心村公共服务水平。重点提升金碧镇域中部和南部</w:t>
      </w:r>
      <w:r>
        <w:rPr>
          <w:rFonts w:ascii="仿宋_GB2312" w:hAnsi="宋体" w:eastAsia="仿宋_GB2312" w:cs="仿宋_GB2312"/>
          <w:color w:val="auto"/>
          <w:kern w:val="0"/>
          <w:sz w:val="31"/>
          <w:szCs w:val="31"/>
          <w:highlight w:val="none"/>
          <w:lang w:bidi="ar"/>
        </w:rPr>
        <w:t xml:space="preserve">中心村农业服务、电商物流、文化旅游等服务水平。 </w:t>
      </w:r>
    </w:p>
    <w:p>
      <w:pPr>
        <w:spacing w:line="560" w:lineRule="exact"/>
        <w:ind w:firstLine="620" w:firstLineChars="200"/>
        <w:rPr>
          <w:color w:val="auto"/>
          <w:highlight w:val="none"/>
        </w:rPr>
      </w:pPr>
      <w:r>
        <w:rPr>
          <w:rFonts w:ascii="楷体" w:hAnsi="楷体" w:eastAsia="楷体" w:cs="楷体"/>
          <w:color w:val="auto"/>
          <w:kern w:val="0"/>
          <w:sz w:val="31"/>
          <w:szCs w:val="31"/>
          <w:highlight w:val="none"/>
          <w:lang w:bidi="ar"/>
        </w:rPr>
        <w:t>完善一般村基础服务配套。</w:t>
      </w:r>
      <w:r>
        <w:rPr>
          <w:rFonts w:hint="eastAsia" w:ascii="仿宋_GB2312" w:hAnsi="宋体" w:eastAsia="仿宋_GB2312" w:cs="仿宋_GB2312"/>
          <w:color w:val="auto"/>
          <w:kern w:val="0"/>
          <w:sz w:val="31"/>
          <w:szCs w:val="31"/>
          <w:highlight w:val="none"/>
          <w:lang w:bidi="ar"/>
        </w:rPr>
        <w:t>完善一般村商业服务、文化活动、休闲娱乐等基础服务设施配套，改善村民人居环境，提升村民生活品质。</w:t>
      </w:r>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lang w:val="en-US" w:eastAsia="zh-CN"/>
        </w:rPr>
        <w:t>五</w:t>
      </w:r>
      <w:r>
        <w:rPr>
          <w:rFonts w:hint="eastAsia" w:ascii="黑体" w:hAnsi="黑体" w:eastAsia="黑体" w:cs="黑体"/>
          <w:b w:val="0"/>
          <w:bCs w:val="0"/>
          <w:color w:val="auto"/>
          <w:highlight w:val="none"/>
        </w:rPr>
        <w:t>、村庄风貌引导</w:t>
      </w:r>
    </w:p>
    <w:p>
      <w:pPr>
        <w:spacing w:line="560" w:lineRule="exact"/>
        <w:ind w:firstLine="620" w:firstLineChars="200"/>
        <w:rPr>
          <w:rFonts w:ascii="Times New Roman" w:hAnsi="Times New Roman" w:eastAsia="仿宋_GB2312" w:cs="Times New Roman"/>
          <w:color w:val="auto"/>
          <w:kern w:val="0"/>
          <w:sz w:val="31"/>
          <w:szCs w:val="31"/>
          <w:highlight w:val="none"/>
          <w:lang w:bidi="ar"/>
        </w:rPr>
      </w:pPr>
      <w:r>
        <w:rPr>
          <w:rFonts w:ascii="Times New Roman" w:hAnsi="Times New Roman" w:eastAsia="仿宋_GB2312" w:cs="Times New Roman"/>
          <w:color w:val="auto"/>
          <w:kern w:val="0"/>
          <w:sz w:val="31"/>
          <w:szCs w:val="31"/>
          <w:highlight w:val="none"/>
          <w:lang w:bidi="ar"/>
        </w:rPr>
        <w:t>梳理村庄特征，将</w:t>
      </w:r>
      <w:r>
        <w:rPr>
          <w:rFonts w:hint="eastAsia" w:ascii="Times New Roman" w:hAnsi="Times New Roman" w:eastAsia="仿宋_GB2312" w:cs="Times New Roman"/>
          <w:color w:val="auto"/>
          <w:kern w:val="0"/>
          <w:sz w:val="31"/>
          <w:szCs w:val="31"/>
          <w:highlight w:val="none"/>
          <w:lang w:bidi="ar"/>
        </w:rPr>
        <w:t>金碧</w:t>
      </w:r>
      <w:r>
        <w:rPr>
          <w:rFonts w:ascii="Times New Roman" w:hAnsi="Times New Roman" w:eastAsia="仿宋_GB2312" w:cs="Times New Roman"/>
          <w:color w:val="auto"/>
          <w:kern w:val="0"/>
          <w:sz w:val="31"/>
          <w:szCs w:val="31"/>
          <w:highlight w:val="none"/>
          <w:lang w:bidi="ar"/>
        </w:rPr>
        <w:t>镇域内村庄分为区位交通特征</w:t>
      </w:r>
      <w:r>
        <w:rPr>
          <w:rFonts w:hint="eastAsia" w:ascii="Times New Roman" w:hAnsi="Times New Roman" w:eastAsia="仿宋_GB2312" w:cs="Times New Roman"/>
          <w:color w:val="auto"/>
          <w:kern w:val="0"/>
          <w:sz w:val="31"/>
          <w:szCs w:val="31"/>
          <w:highlight w:val="none"/>
          <w:lang w:bidi="ar"/>
        </w:rPr>
        <w:t>、</w:t>
      </w:r>
      <w:r>
        <w:rPr>
          <w:rFonts w:ascii="Times New Roman" w:hAnsi="Times New Roman" w:eastAsia="仿宋_GB2312" w:cs="Times New Roman"/>
          <w:color w:val="auto"/>
          <w:kern w:val="0"/>
          <w:sz w:val="31"/>
          <w:szCs w:val="31"/>
          <w:highlight w:val="none"/>
          <w:lang w:bidi="ar"/>
        </w:rPr>
        <w:t>自然山水特征、产业资源特征</w:t>
      </w:r>
      <w:r>
        <w:rPr>
          <w:rFonts w:hint="eastAsia" w:ascii="Times New Roman" w:hAnsi="Times New Roman" w:eastAsia="仿宋_GB2312" w:cs="Times New Roman"/>
          <w:color w:val="auto"/>
          <w:kern w:val="0"/>
          <w:sz w:val="31"/>
          <w:szCs w:val="31"/>
          <w:highlight w:val="none"/>
          <w:lang w:bidi="ar"/>
        </w:rPr>
        <w:t>3</w:t>
      </w:r>
      <w:r>
        <w:rPr>
          <w:rFonts w:ascii="Times New Roman" w:hAnsi="Times New Roman" w:eastAsia="仿宋_GB2312" w:cs="Times New Roman"/>
          <w:color w:val="auto"/>
          <w:kern w:val="0"/>
          <w:sz w:val="31"/>
          <w:szCs w:val="31"/>
          <w:highlight w:val="none"/>
          <w:lang w:bidi="ar"/>
        </w:rPr>
        <w:t>类。</w:t>
      </w:r>
    </w:p>
    <w:p>
      <w:pPr>
        <w:spacing w:line="560" w:lineRule="exact"/>
        <w:ind w:firstLine="620" w:firstLineChars="200"/>
        <w:rPr>
          <w:rFonts w:ascii="Times New Roman" w:hAnsi="Times New Roman" w:eastAsia="仿宋_GB2312" w:cs="Times New Roman"/>
          <w:color w:val="auto"/>
          <w:kern w:val="0"/>
          <w:sz w:val="31"/>
          <w:szCs w:val="31"/>
          <w:highlight w:val="none"/>
          <w:lang w:bidi="ar"/>
        </w:rPr>
      </w:pPr>
      <w:r>
        <w:rPr>
          <w:rFonts w:hint="eastAsia" w:ascii="楷体" w:hAnsi="楷体" w:eastAsia="楷体" w:cs="楷体"/>
          <w:color w:val="auto"/>
          <w:kern w:val="0"/>
          <w:sz w:val="31"/>
          <w:szCs w:val="31"/>
          <w:highlight w:val="none"/>
          <w:lang w:bidi="ar"/>
        </w:rPr>
        <w:t>区位交通特征型村庄：</w:t>
      </w:r>
      <w:r>
        <w:rPr>
          <w:rFonts w:hint="eastAsia" w:ascii="Times New Roman" w:hAnsi="Times New Roman" w:eastAsia="仿宋_GB2312" w:cs="Times New Roman"/>
          <w:color w:val="auto"/>
          <w:kern w:val="0"/>
          <w:sz w:val="31"/>
          <w:szCs w:val="31"/>
          <w:highlight w:val="none"/>
          <w:lang w:bidi="ar"/>
        </w:rPr>
        <w:t>优先加强永金高速、元大高速、南永公路等重要交通沿线两侧的村庄（除中心城区的城郊融合型村庄外，涉及龙林、平山、黄海屯、厂房、泗溪、范湾、仓街、殷连、妙峰、马屯、胡屯、钟秀、</w:t>
      </w:r>
      <w:r>
        <w:rPr>
          <w:rFonts w:hint="eastAsia" w:ascii="Times New Roman" w:hAnsi="Times New Roman" w:eastAsia="仿宋_GB2312" w:cs="Times New Roman"/>
          <w:color w:val="auto"/>
          <w:sz w:val="32"/>
          <w:szCs w:val="32"/>
          <w:highlight w:val="none"/>
        </w:rPr>
        <w:t>三槐等行政村或社区的部分村庄</w:t>
      </w:r>
      <w:r>
        <w:rPr>
          <w:rFonts w:hint="eastAsia" w:ascii="Times New Roman" w:hAnsi="Times New Roman" w:eastAsia="仿宋_GB2312" w:cs="Times New Roman"/>
          <w:color w:val="auto"/>
          <w:kern w:val="0"/>
          <w:sz w:val="31"/>
          <w:szCs w:val="31"/>
          <w:highlight w:val="none"/>
          <w:lang w:bidi="ar"/>
        </w:rPr>
        <w:t>）风貌整治提升，开展绿化美化，塑造优美的沿线村庄景观。</w:t>
      </w:r>
    </w:p>
    <w:p>
      <w:pPr>
        <w:spacing w:line="560" w:lineRule="exact"/>
        <w:ind w:firstLine="620" w:firstLineChars="200"/>
        <w:rPr>
          <w:rFonts w:ascii="Times New Roman" w:hAnsi="Times New Roman" w:eastAsia="仿宋_GB2312" w:cs="Times New Roman"/>
          <w:color w:val="auto"/>
          <w:kern w:val="0"/>
          <w:sz w:val="31"/>
          <w:szCs w:val="31"/>
          <w:highlight w:val="none"/>
          <w:lang w:bidi="ar"/>
        </w:rPr>
      </w:pPr>
      <w:r>
        <w:rPr>
          <w:rFonts w:ascii="楷体" w:hAnsi="楷体" w:eastAsia="楷体" w:cs="楷体"/>
          <w:color w:val="auto"/>
          <w:kern w:val="0"/>
          <w:sz w:val="31"/>
          <w:szCs w:val="31"/>
          <w:highlight w:val="none"/>
          <w:lang w:bidi="ar"/>
        </w:rPr>
        <w:t>自然山水特征</w:t>
      </w:r>
      <w:r>
        <w:rPr>
          <w:rFonts w:hint="eastAsia" w:ascii="楷体" w:hAnsi="楷体" w:eastAsia="楷体" w:cs="楷体"/>
          <w:color w:val="auto"/>
          <w:kern w:val="0"/>
          <w:sz w:val="31"/>
          <w:szCs w:val="31"/>
          <w:highlight w:val="none"/>
          <w:lang w:bidi="ar"/>
        </w:rPr>
        <w:t>型村庄</w:t>
      </w:r>
      <w:r>
        <w:rPr>
          <w:rFonts w:hint="eastAsia" w:ascii="Times New Roman" w:hAnsi="Times New Roman" w:eastAsia="仿宋_GB2312" w:cs="Times New Roman"/>
          <w:color w:val="auto"/>
          <w:kern w:val="0"/>
          <w:sz w:val="31"/>
          <w:szCs w:val="31"/>
          <w:highlight w:val="none"/>
          <w:lang w:bidi="ar"/>
        </w:rPr>
        <w:t>：包括凉桥、将军、钟秀、锁北、</w:t>
      </w:r>
      <w:r>
        <w:rPr>
          <w:rFonts w:hint="eastAsia" w:ascii="Times New Roman" w:hAnsi="Times New Roman" w:eastAsia="仿宋_GB2312" w:cs="Times New Roman"/>
          <w:color w:val="auto"/>
          <w:sz w:val="32"/>
          <w:szCs w:val="32"/>
          <w:highlight w:val="none"/>
        </w:rPr>
        <w:t>三槐、龙林、</w:t>
      </w:r>
      <w:r>
        <w:rPr>
          <w:rFonts w:hint="eastAsia" w:ascii="Times New Roman" w:hAnsi="Times New Roman" w:eastAsia="仿宋_GB2312" w:cs="Times New Roman"/>
          <w:color w:val="auto"/>
          <w:kern w:val="0"/>
          <w:sz w:val="31"/>
          <w:szCs w:val="31"/>
          <w:highlight w:val="none"/>
          <w:lang w:bidi="ar"/>
        </w:rPr>
        <w:t>殷连、</w:t>
      </w:r>
      <w:r>
        <w:rPr>
          <w:rFonts w:hint="eastAsia" w:ascii="Times New Roman" w:hAnsi="Times New Roman" w:eastAsia="仿宋_GB2312" w:cs="Times New Roman"/>
          <w:color w:val="auto"/>
          <w:sz w:val="32"/>
          <w:szCs w:val="32"/>
          <w:highlight w:val="none"/>
        </w:rPr>
        <w:t>黄海屯、厂房、</w:t>
      </w:r>
      <w:r>
        <w:rPr>
          <w:rFonts w:hint="eastAsia" w:ascii="Times New Roman" w:hAnsi="Times New Roman" w:eastAsia="仿宋_GB2312" w:cs="Times New Roman"/>
          <w:color w:val="auto"/>
          <w:kern w:val="0"/>
          <w:sz w:val="31"/>
          <w:szCs w:val="31"/>
          <w:highlight w:val="none"/>
          <w:lang w:bidi="ar"/>
        </w:rPr>
        <w:t>泗溪、仓街、妙峰、马屯、胡屯等涉及水库或河流的</w:t>
      </w:r>
      <w:r>
        <w:rPr>
          <w:rFonts w:hint="eastAsia" w:ascii="Times New Roman" w:hAnsi="Times New Roman" w:eastAsia="仿宋_GB2312" w:cs="Times New Roman"/>
          <w:color w:val="auto"/>
          <w:sz w:val="32"/>
          <w:szCs w:val="32"/>
          <w:highlight w:val="none"/>
        </w:rPr>
        <w:t>行政村或社区的部分村庄</w:t>
      </w:r>
      <w:r>
        <w:rPr>
          <w:rFonts w:hint="eastAsia" w:ascii="Times New Roman" w:hAnsi="Times New Roman" w:eastAsia="仿宋_GB2312" w:cs="Times New Roman"/>
          <w:color w:val="auto"/>
          <w:kern w:val="0"/>
          <w:sz w:val="31"/>
          <w:szCs w:val="31"/>
          <w:highlight w:val="none"/>
          <w:lang w:bidi="ar"/>
        </w:rPr>
        <w:t>，村庄统筹山水林田湖草系统治理，保护好重要区域生态系统、田园生态系统，开展重点水系流域环境综合治理，严格控制水系沿线开发强度，实施精准治理。</w:t>
      </w:r>
    </w:p>
    <w:p>
      <w:pPr>
        <w:spacing w:line="560" w:lineRule="exact"/>
        <w:ind w:firstLine="620" w:firstLineChars="200"/>
        <w:rPr>
          <w:rFonts w:ascii="Times New Roman" w:hAnsi="Times New Roman" w:eastAsia="仿宋_GB2312" w:cs="Times New Roman"/>
          <w:color w:val="auto"/>
          <w:kern w:val="0"/>
          <w:sz w:val="31"/>
          <w:szCs w:val="31"/>
          <w:highlight w:val="none"/>
          <w:lang w:bidi="ar"/>
        </w:rPr>
      </w:pPr>
      <w:r>
        <w:rPr>
          <w:rFonts w:ascii="楷体" w:hAnsi="楷体" w:eastAsia="楷体" w:cs="楷体"/>
          <w:color w:val="auto"/>
          <w:kern w:val="0"/>
          <w:sz w:val="31"/>
          <w:szCs w:val="31"/>
          <w:highlight w:val="none"/>
          <w:lang w:bidi="ar"/>
        </w:rPr>
        <w:t>产业资源特征</w:t>
      </w:r>
      <w:r>
        <w:rPr>
          <w:rFonts w:hint="eastAsia" w:ascii="楷体" w:hAnsi="楷体" w:eastAsia="楷体" w:cs="楷体"/>
          <w:color w:val="auto"/>
          <w:kern w:val="0"/>
          <w:sz w:val="31"/>
          <w:szCs w:val="31"/>
          <w:highlight w:val="none"/>
          <w:lang w:bidi="ar"/>
        </w:rPr>
        <w:t>型村庄</w:t>
      </w:r>
      <w:r>
        <w:rPr>
          <w:rFonts w:hint="eastAsia" w:ascii="Times New Roman" w:hAnsi="Times New Roman" w:eastAsia="仿宋_GB2312" w:cs="Times New Roman"/>
          <w:color w:val="auto"/>
          <w:kern w:val="0"/>
          <w:sz w:val="31"/>
          <w:szCs w:val="31"/>
          <w:highlight w:val="none"/>
          <w:lang w:bidi="ar"/>
        </w:rPr>
        <w:t>：发展生态旅游，包括龙林村委会煤厂、胡屯村委会付冲、妙峰村委会上王和呼湾等；发展红色旅游，包括七街社区仓西等。其他村庄因地制宜发展特色农业或商贸等乡村产业。</w:t>
      </w:r>
    </w:p>
    <w:p>
      <w:pPr>
        <w:keepNext/>
        <w:keepLines/>
        <w:numPr>
          <w:ilvl w:val="0"/>
          <w:numId w:val="13"/>
        </w:numPr>
        <w:spacing w:before="78" w:beforeLines="25" w:after="78" w:afterLines="25" w:line="700" w:lineRule="exact"/>
        <w:ind w:left="0" w:firstLine="0"/>
        <w:jc w:val="center"/>
        <w:outlineLvl w:val="1"/>
        <w:rPr>
          <w:rFonts w:ascii="黑体" w:hAnsi="黑体" w:eastAsia="黑体" w:cs="黑体"/>
          <w:b/>
          <w:bCs/>
          <w:color w:val="auto"/>
          <w:sz w:val="32"/>
          <w:szCs w:val="32"/>
          <w:highlight w:val="none"/>
        </w:rPr>
      </w:pPr>
      <w:bookmarkStart w:id="87" w:name="_Toc30531"/>
      <w:r>
        <w:rPr>
          <w:rFonts w:hint="eastAsia" w:ascii="黑体" w:hAnsi="黑体" w:eastAsia="黑体" w:cs="黑体"/>
          <w:b/>
          <w:bCs/>
          <w:color w:val="auto"/>
          <w:sz w:val="32"/>
          <w:szCs w:val="32"/>
          <w:highlight w:val="none"/>
        </w:rPr>
        <w:t>镇生态修复和国土综合整治</w:t>
      </w:r>
      <w:bookmarkEnd w:id="87"/>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一、金碧镇山水林田湖草系统修复</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推进</w:t>
      </w:r>
      <w:r>
        <w:rPr>
          <w:rFonts w:hint="eastAsia" w:ascii="Times New Roman" w:hAnsi="Times New Roman" w:eastAsia="仿宋_GB2312" w:cs="Times New Roman"/>
          <w:color w:val="auto"/>
          <w:sz w:val="32"/>
          <w:szCs w:val="32"/>
          <w:highlight w:val="none"/>
        </w:rPr>
        <w:t>森林生态重点保护修复区</w:t>
      </w:r>
      <w:r>
        <w:rPr>
          <w:rFonts w:hint="eastAsia" w:ascii="Times New Roman" w:hAnsi="Times New Roman" w:eastAsia="仿宋_GB2312" w:cs="Times New Roman"/>
          <w:color w:val="auto"/>
          <w:sz w:val="32"/>
          <w:szCs w:val="32"/>
          <w:highlight w:val="none"/>
          <w:lang w:val="en-US" w:eastAsia="zh-CN"/>
        </w:rPr>
        <w:t>建设</w:t>
      </w:r>
      <w:r>
        <w:rPr>
          <w:rFonts w:hint="eastAsia" w:ascii="Times New Roman" w:hAnsi="Times New Roman" w:eastAsia="仿宋_GB2312" w:cs="Times New Roman"/>
          <w:color w:val="auto"/>
          <w:sz w:val="32"/>
          <w:szCs w:val="32"/>
          <w:highlight w:val="none"/>
        </w:rPr>
        <w:t>，主要为自然修复及植树造林；</w:t>
      </w:r>
      <w:r>
        <w:rPr>
          <w:rFonts w:hint="eastAsia" w:ascii="Times New Roman" w:hAnsi="Times New Roman" w:eastAsia="仿宋_GB2312" w:cs="Times New Roman"/>
          <w:color w:val="auto"/>
          <w:sz w:val="32"/>
          <w:szCs w:val="32"/>
          <w:highlight w:val="none"/>
          <w:lang w:val="en-US" w:eastAsia="zh-CN"/>
        </w:rPr>
        <w:t>推进</w:t>
      </w:r>
      <w:r>
        <w:rPr>
          <w:rFonts w:hint="eastAsia" w:ascii="Times New Roman" w:hAnsi="Times New Roman" w:eastAsia="仿宋_GB2312" w:cs="Times New Roman"/>
          <w:color w:val="auto"/>
          <w:sz w:val="32"/>
          <w:szCs w:val="32"/>
          <w:highlight w:val="none"/>
        </w:rPr>
        <w:t>水环境水生态重点修复区</w:t>
      </w:r>
      <w:r>
        <w:rPr>
          <w:rFonts w:hint="eastAsia" w:ascii="Times New Roman" w:hAnsi="Times New Roman" w:eastAsia="仿宋_GB2312" w:cs="Times New Roman"/>
          <w:color w:val="auto"/>
          <w:sz w:val="32"/>
          <w:szCs w:val="32"/>
          <w:highlight w:val="none"/>
          <w:lang w:val="en-US" w:eastAsia="zh-CN"/>
        </w:rPr>
        <w:t>建设</w:t>
      </w:r>
      <w:r>
        <w:rPr>
          <w:rFonts w:hint="eastAsia" w:ascii="Times New Roman" w:hAnsi="Times New Roman" w:eastAsia="仿宋_GB2312" w:cs="Times New Roman"/>
          <w:color w:val="auto"/>
          <w:sz w:val="32"/>
          <w:szCs w:val="32"/>
          <w:highlight w:val="none"/>
        </w:rPr>
        <w:t>。规划土地整治项目1个，高标准农田建设项目1个。对白塔公园、金碧湿地公园等区域加强库塘周边水源涵养林和水土保持林建设、环园消涨带植被恢复和水禽栖息地硬件提升，保障库塘湿地水源涵养能力，恢复库塘湿地生物多样性。</w:t>
      </w:r>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二、金碧镇国土综合整治</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根据上位规划确定乡镇域重点区域，推进国土综合整治。落实上位规划确定的乡镇域内国土综合整治的重点类型、任务、区域、规模和时序。开展耕地后备资源调查、耕地提质改造、高标准农田建设和粮食生产功能区划定等工作，增加耕地面积，提高耕地质量；推进低效林地、草地、园地等用地的提质改造工作；开展农村宅基地、工矿废弃地、空心村以及其他低效闲置农村建设用地整理工作。</w:t>
      </w:r>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三、金碧镇矿山生态修复</w:t>
      </w:r>
    </w:p>
    <w:p>
      <w:pPr>
        <w:spacing w:line="560" w:lineRule="exact"/>
        <w:ind w:firstLine="640" w:firstLineChars="200"/>
        <w:rPr>
          <w:color w:val="auto"/>
          <w:highlight w:val="none"/>
        </w:rPr>
      </w:pPr>
      <w:r>
        <w:rPr>
          <w:rFonts w:hint="eastAsia" w:ascii="Times New Roman" w:hAnsi="Times New Roman" w:eastAsia="仿宋_GB2312" w:cs="Times New Roman"/>
          <w:color w:val="auto"/>
          <w:sz w:val="32"/>
          <w:szCs w:val="32"/>
          <w:highlight w:val="none"/>
        </w:rPr>
        <w:t>大姚县</w:t>
      </w:r>
      <w:r>
        <w:rPr>
          <w:rFonts w:ascii="Times New Roman" w:hAnsi="Times New Roman" w:eastAsia="仿宋_GB2312" w:cs="Times New Roman"/>
          <w:color w:val="auto"/>
          <w:sz w:val="32"/>
          <w:szCs w:val="32"/>
          <w:highlight w:val="none"/>
        </w:rPr>
        <w:t>调查核实矿产资源开发造成的地灾隐患、占用和损毁土地以及生态破坏等区域；针对上位规划确定的空塌陷区、废弃矿山、岩坑裸露矿山、交通干线沿线敏感矿山和景区周边矿山等重点修复对象，落实</w:t>
      </w:r>
      <w:r>
        <w:rPr>
          <w:rFonts w:hint="eastAsia" w:ascii="Times New Roman" w:hAnsi="Times New Roman" w:eastAsia="仿宋_GB2312" w:cs="Times New Roman"/>
          <w:color w:val="auto"/>
          <w:sz w:val="32"/>
          <w:szCs w:val="32"/>
          <w:highlight w:val="none"/>
        </w:rPr>
        <w:t>生态</w:t>
      </w:r>
      <w:r>
        <w:rPr>
          <w:rFonts w:ascii="Times New Roman" w:hAnsi="Times New Roman" w:eastAsia="仿宋_GB2312" w:cs="Times New Roman"/>
          <w:color w:val="auto"/>
          <w:sz w:val="32"/>
          <w:szCs w:val="32"/>
          <w:highlight w:val="none"/>
        </w:rPr>
        <w:t>修复的重点任务、区域、规模和时序等内容</w:t>
      </w:r>
      <w:r>
        <w:rPr>
          <w:rFonts w:hint="eastAsia" w:ascii="Times New Roman" w:hAnsi="Times New Roman" w:eastAsia="仿宋_GB2312" w:cs="Times New Roman"/>
          <w:color w:val="auto"/>
          <w:sz w:val="32"/>
          <w:szCs w:val="32"/>
          <w:highlight w:val="none"/>
        </w:rPr>
        <w:t>。推进以采空区回填、滑坡与泥石流治理、尾矿库与废石场加固、土地复垦与植被恢复为重点的恢复治理。</w:t>
      </w:r>
    </w:p>
    <w:p>
      <w:pPr>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br w:type="page"/>
      </w:r>
    </w:p>
    <w:p>
      <w:pPr>
        <w:pStyle w:val="2"/>
        <w:numPr>
          <w:ilvl w:val="0"/>
          <w:numId w:val="2"/>
        </w:numPr>
        <w:spacing w:before="120" w:after="120" w:line="360" w:lineRule="auto"/>
        <w:ind w:left="0"/>
        <w:jc w:val="center"/>
        <w:rPr>
          <w:rFonts w:ascii="黑体" w:hAnsi="黑体" w:eastAsia="黑体" w:cs="黑体"/>
          <w:color w:val="auto"/>
          <w:sz w:val="36"/>
          <w:szCs w:val="36"/>
          <w:highlight w:val="none"/>
        </w:rPr>
      </w:pPr>
      <w:r>
        <w:rPr>
          <w:rFonts w:hint="eastAsia" w:ascii="黑体" w:hAnsi="黑体" w:eastAsia="黑体" w:cs="黑体"/>
          <w:color w:val="auto"/>
          <w:sz w:val="36"/>
          <w:szCs w:val="36"/>
          <w:highlight w:val="none"/>
        </w:rPr>
        <w:t xml:space="preserve"> </w:t>
      </w:r>
      <w:bookmarkStart w:id="88" w:name="_Toc15422"/>
      <w:r>
        <w:rPr>
          <w:rFonts w:hint="eastAsia" w:ascii="黑体" w:hAnsi="黑体" w:eastAsia="黑体" w:cs="黑体"/>
          <w:color w:val="auto"/>
          <w:sz w:val="36"/>
          <w:szCs w:val="36"/>
          <w:highlight w:val="none"/>
        </w:rPr>
        <w:t>规划传导与实施保障</w:t>
      </w:r>
      <w:bookmarkEnd w:id="88"/>
    </w:p>
    <w:p>
      <w:pPr>
        <w:keepNext/>
        <w:keepLines/>
        <w:numPr>
          <w:ilvl w:val="0"/>
          <w:numId w:val="15"/>
        </w:numPr>
        <w:spacing w:before="78" w:beforeLines="25" w:after="78" w:afterLines="25" w:line="700" w:lineRule="exact"/>
        <w:ind w:left="0" w:firstLine="0"/>
        <w:jc w:val="center"/>
        <w:outlineLvl w:val="1"/>
        <w:rPr>
          <w:rFonts w:ascii="黑体" w:hAnsi="黑体" w:eastAsia="黑体" w:cs="黑体"/>
          <w:b/>
          <w:bCs/>
          <w:color w:val="auto"/>
          <w:sz w:val="32"/>
          <w:szCs w:val="32"/>
          <w:highlight w:val="none"/>
        </w:rPr>
      </w:pPr>
      <w:bookmarkStart w:id="89" w:name="_Toc14519"/>
      <w:r>
        <w:rPr>
          <w:rFonts w:hint="eastAsia" w:ascii="黑体" w:hAnsi="黑体" w:eastAsia="黑体" w:cs="黑体"/>
          <w:b/>
          <w:bCs/>
          <w:color w:val="auto"/>
          <w:sz w:val="32"/>
          <w:szCs w:val="32"/>
          <w:highlight w:val="none"/>
        </w:rPr>
        <w:t>县域乡镇指引</w:t>
      </w:r>
      <w:bookmarkEnd w:id="89"/>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一、乡镇战略布局指引</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通过开发保护目标定位、各镇空间指引、城镇体系、空间策略等宏观性内容指引各镇规划。通过县域国土空间开发保护格局、各专项系统空间安排，指引各镇优化空间布局。具体如下：</w:t>
      </w:r>
    </w:p>
    <w:p>
      <w:pPr>
        <w:spacing w:line="560" w:lineRule="exact"/>
        <w:jc w:val="center"/>
        <w:rPr>
          <w:rFonts w:ascii="Times New Roman" w:hAnsi="Times New Roman" w:eastAsia="仿宋_GB2312" w:cs="Times New Roman"/>
          <w:color w:val="auto"/>
          <w:sz w:val="32"/>
          <w:szCs w:val="32"/>
          <w:highlight w:val="none"/>
        </w:rPr>
      </w:pPr>
      <w:r>
        <w:rPr>
          <w:rFonts w:hint="eastAsia" w:ascii="仿宋" w:hAnsi="仿宋" w:eastAsia="仿宋" w:cs="宋体"/>
          <w:b/>
          <w:color w:val="auto"/>
          <w:sz w:val="28"/>
          <w:szCs w:val="28"/>
          <w:highlight w:val="none"/>
        </w:rPr>
        <w:t>乡镇发展指引表</w:t>
      </w:r>
    </w:p>
    <w:tbl>
      <w:tblPr>
        <w:tblStyle w:val="26"/>
        <w:tblW w:w="48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1"/>
        <w:gridCol w:w="1651"/>
        <w:gridCol w:w="5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blHeader/>
          <w:jc w:val="center"/>
        </w:trPr>
        <w:tc>
          <w:tcPr>
            <w:tcW w:w="656" w:type="pct"/>
            <w:vAlign w:val="center"/>
          </w:tcPr>
          <w:p>
            <w:pPr>
              <w:widowControl/>
              <w:spacing w:line="300" w:lineRule="exact"/>
              <w:jc w:val="center"/>
              <w:rPr>
                <w:rFonts w:ascii="仿宋" w:hAnsi="仿宋" w:eastAsia="仿宋" w:cs="仿宋"/>
                <w:b/>
                <w:bCs/>
                <w:color w:val="auto"/>
                <w:kern w:val="0"/>
                <w:sz w:val="22"/>
                <w:highlight w:val="none"/>
              </w:rPr>
            </w:pPr>
            <w:r>
              <w:rPr>
                <w:rFonts w:hint="eastAsia" w:ascii="仿宋" w:hAnsi="仿宋" w:eastAsia="仿宋" w:cs="仿宋"/>
                <w:b/>
                <w:bCs/>
                <w:color w:val="auto"/>
                <w:kern w:val="0"/>
                <w:sz w:val="22"/>
                <w:highlight w:val="none"/>
              </w:rPr>
              <w:t>乡镇</w:t>
            </w:r>
          </w:p>
        </w:tc>
        <w:tc>
          <w:tcPr>
            <w:tcW w:w="993" w:type="pct"/>
            <w:vAlign w:val="center"/>
          </w:tcPr>
          <w:p>
            <w:pPr>
              <w:widowControl/>
              <w:spacing w:line="300" w:lineRule="exact"/>
              <w:jc w:val="center"/>
              <w:rPr>
                <w:rFonts w:ascii="仿宋" w:hAnsi="仿宋" w:eastAsia="仿宋" w:cs="仿宋"/>
                <w:b/>
                <w:bCs/>
                <w:color w:val="auto"/>
                <w:kern w:val="0"/>
                <w:sz w:val="22"/>
                <w:highlight w:val="none"/>
              </w:rPr>
            </w:pPr>
            <w:r>
              <w:rPr>
                <w:rFonts w:hint="eastAsia" w:ascii="仿宋" w:hAnsi="仿宋" w:eastAsia="仿宋" w:cs="仿宋"/>
                <w:b/>
                <w:bCs/>
                <w:color w:val="auto"/>
                <w:kern w:val="0"/>
                <w:sz w:val="22"/>
                <w:highlight w:val="none"/>
              </w:rPr>
              <w:t>城镇类型</w:t>
            </w:r>
          </w:p>
        </w:tc>
        <w:tc>
          <w:tcPr>
            <w:tcW w:w="3349" w:type="pct"/>
            <w:vAlign w:val="center"/>
          </w:tcPr>
          <w:p>
            <w:pPr>
              <w:widowControl/>
              <w:spacing w:line="300" w:lineRule="exact"/>
              <w:jc w:val="center"/>
              <w:rPr>
                <w:rFonts w:ascii="仿宋" w:hAnsi="仿宋" w:eastAsia="仿宋" w:cs="仿宋"/>
                <w:b/>
                <w:bCs/>
                <w:color w:val="auto"/>
                <w:kern w:val="0"/>
                <w:sz w:val="22"/>
                <w:highlight w:val="none"/>
              </w:rPr>
            </w:pPr>
            <w:r>
              <w:rPr>
                <w:rFonts w:hint="eastAsia" w:ascii="仿宋" w:hAnsi="仿宋" w:eastAsia="仿宋" w:cs="仿宋"/>
                <w:b/>
                <w:bCs/>
                <w:color w:val="auto"/>
                <w:kern w:val="0"/>
                <w:sz w:val="22"/>
                <w:highlight w:val="none"/>
              </w:rPr>
              <w:t>发展导向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656" w:type="pct"/>
            <w:vAlign w:val="center"/>
          </w:tcPr>
          <w:p>
            <w:pPr>
              <w:widowControl/>
              <w:spacing w:line="300" w:lineRule="exact"/>
              <w:jc w:val="center"/>
              <w:rPr>
                <w:rFonts w:ascii="仿宋" w:hAnsi="仿宋" w:eastAsia="仿宋" w:cs="仿宋"/>
                <w:b/>
                <w:bCs/>
                <w:color w:val="auto"/>
                <w:kern w:val="0"/>
                <w:sz w:val="22"/>
                <w:highlight w:val="none"/>
              </w:rPr>
            </w:pPr>
            <w:r>
              <w:rPr>
                <w:rFonts w:hint="eastAsia" w:ascii="仿宋" w:hAnsi="仿宋" w:eastAsia="仿宋" w:cs="仿宋"/>
                <w:b/>
                <w:bCs/>
                <w:color w:val="auto"/>
                <w:kern w:val="0"/>
                <w:sz w:val="22"/>
                <w:highlight w:val="none"/>
              </w:rPr>
              <w:t>金碧镇</w:t>
            </w:r>
          </w:p>
        </w:tc>
        <w:tc>
          <w:tcPr>
            <w:tcW w:w="993" w:type="pct"/>
            <w:vAlign w:val="center"/>
          </w:tcPr>
          <w:p>
            <w:pPr>
              <w:widowControl/>
              <w:spacing w:line="300" w:lineRule="exact"/>
              <w:jc w:val="center"/>
              <w:rPr>
                <w:rFonts w:ascii="仿宋" w:hAnsi="仿宋" w:eastAsia="仿宋" w:cs="仿宋"/>
                <w:color w:val="auto"/>
                <w:kern w:val="0"/>
                <w:sz w:val="22"/>
                <w:highlight w:val="none"/>
              </w:rPr>
            </w:pPr>
            <w:r>
              <w:rPr>
                <w:rFonts w:hint="eastAsia" w:ascii="仿宋" w:hAnsi="仿宋" w:eastAsia="仿宋" w:cs="仿宋"/>
                <w:color w:val="auto"/>
                <w:kern w:val="0"/>
                <w:sz w:val="22"/>
                <w:highlight w:val="none"/>
              </w:rPr>
              <w:t>综合型</w:t>
            </w:r>
          </w:p>
        </w:tc>
        <w:tc>
          <w:tcPr>
            <w:tcW w:w="3349" w:type="pct"/>
            <w:vAlign w:val="center"/>
          </w:tcPr>
          <w:p>
            <w:pPr>
              <w:widowControl/>
              <w:spacing w:line="300" w:lineRule="exact"/>
              <w:ind w:firstLine="440"/>
              <w:rPr>
                <w:rFonts w:ascii="仿宋" w:hAnsi="仿宋" w:eastAsia="仿宋" w:cs="仿宋"/>
                <w:color w:val="auto"/>
                <w:kern w:val="0"/>
                <w:sz w:val="22"/>
                <w:highlight w:val="none"/>
              </w:rPr>
            </w:pPr>
            <w:r>
              <w:rPr>
                <w:rFonts w:hint="eastAsia" w:ascii="仿宋" w:hAnsi="仿宋" w:eastAsia="仿宋" w:cs="仿宋"/>
                <w:color w:val="auto"/>
                <w:kern w:val="0"/>
                <w:sz w:val="22"/>
                <w:highlight w:val="none"/>
              </w:rPr>
              <w:t>依托镇区内工业园区发展核桃、花椒、果蔬、蚕丝等农产品的深加工产业，发挥县域中心镇区位优势，建设“全县现代物流园区”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56" w:type="pct"/>
            <w:vAlign w:val="center"/>
          </w:tcPr>
          <w:p>
            <w:pPr>
              <w:widowControl/>
              <w:spacing w:line="300" w:lineRule="exact"/>
              <w:jc w:val="center"/>
              <w:rPr>
                <w:rFonts w:ascii="仿宋" w:hAnsi="仿宋" w:eastAsia="仿宋" w:cs="仿宋"/>
                <w:b/>
                <w:bCs/>
                <w:color w:val="auto"/>
                <w:kern w:val="0"/>
                <w:sz w:val="22"/>
                <w:highlight w:val="none"/>
              </w:rPr>
            </w:pPr>
            <w:r>
              <w:rPr>
                <w:rFonts w:hint="eastAsia" w:ascii="仿宋" w:hAnsi="仿宋" w:eastAsia="仿宋" w:cs="仿宋"/>
                <w:b/>
                <w:bCs/>
                <w:color w:val="auto"/>
                <w:kern w:val="0"/>
                <w:sz w:val="22"/>
                <w:highlight w:val="none"/>
              </w:rPr>
              <w:t>石羊镇</w:t>
            </w:r>
          </w:p>
        </w:tc>
        <w:tc>
          <w:tcPr>
            <w:tcW w:w="993" w:type="pct"/>
            <w:vAlign w:val="center"/>
          </w:tcPr>
          <w:p>
            <w:pPr>
              <w:widowControl/>
              <w:spacing w:line="300" w:lineRule="exact"/>
              <w:jc w:val="center"/>
              <w:rPr>
                <w:rFonts w:ascii="仿宋" w:hAnsi="仿宋" w:eastAsia="仿宋" w:cs="仿宋"/>
                <w:color w:val="auto"/>
                <w:kern w:val="0"/>
                <w:sz w:val="22"/>
                <w:highlight w:val="none"/>
              </w:rPr>
            </w:pPr>
            <w:r>
              <w:rPr>
                <w:rFonts w:hint="eastAsia" w:ascii="仿宋" w:hAnsi="仿宋" w:eastAsia="仿宋" w:cs="仿宋"/>
                <w:color w:val="auto"/>
                <w:kern w:val="0"/>
                <w:sz w:val="22"/>
                <w:highlight w:val="none"/>
              </w:rPr>
              <w:t>旅游型、农贸型</w:t>
            </w:r>
          </w:p>
        </w:tc>
        <w:tc>
          <w:tcPr>
            <w:tcW w:w="3349" w:type="pct"/>
            <w:vAlign w:val="center"/>
          </w:tcPr>
          <w:p>
            <w:pPr>
              <w:widowControl/>
              <w:spacing w:line="300" w:lineRule="exact"/>
              <w:ind w:firstLine="440"/>
              <w:rPr>
                <w:rFonts w:ascii="仿宋" w:hAnsi="仿宋" w:eastAsia="仿宋" w:cs="仿宋"/>
                <w:color w:val="auto"/>
                <w:kern w:val="0"/>
                <w:sz w:val="22"/>
                <w:highlight w:val="none"/>
              </w:rPr>
            </w:pPr>
            <w:r>
              <w:rPr>
                <w:rFonts w:hint="eastAsia" w:ascii="仿宋" w:hAnsi="仿宋" w:eastAsia="仿宋" w:cs="仿宋"/>
                <w:color w:val="auto"/>
                <w:kern w:val="0"/>
                <w:sz w:val="22"/>
                <w:highlight w:val="none"/>
              </w:rPr>
              <w:t>以石羊古镇4A景区为核心，塑造大姚文化旅游第一品牌和云南著名研学旅游基地，推动乡村旅游发展；推动蚕桑、板栗精深加工产业发展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56" w:type="pct"/>
            <w:vAlign w:val="center"/>
          </w:tcPr>
          <w:p>
            <w:pPr>
              <w:widowControl/>
              <w:spacing w:line="300" w:lineRule="exact"/>
              <w:jc w:val="center"/>
              <w:rPr>
                <w:rFonts w:ascii="仿宋" w:hAnsi="仿宋" w:eastAsia="仿宋" w:cs="仿宋"/>
                <w:b/>
                <w:bCs/>
                <w:color w:val="auto"/>
                <w:kern w:val="0"/>
                <w:sz w:val="22"/>
                <w:highlight w:val="none"/>
              </w:rPr>
            </w:pPr>
            <w:r>
              <w:rPr>
                <w:rFonts w:hint="eastAsia" w:ascii="仿宋" w:hAnsi="仿宋" w:eastAsia="仿宋" w:cs="仿宋"/>
                <w:b/>
                <w:bCs/>
                <w:color w:val="auto"/>
                <w:kern w:val="0"/>
                <w:sz w:val="22"/>
                <w:highlight w:val="none"/>
              </w:rPr>
              <w:t>六苴镇</w:t>
            </w:r>
          </w:p>
        </w:tc>
        <w:tc>
          <w:tcPr>
            <w:tcW w:w="993" w:type="pct"/>
            <w:vAlign w:val="center"/>
          </w:tcPr>
          <w:p>
            <w:pPr>
              <w:widowControl/>
              <w:spacing w:line="300" w:lineRule="exact"/>
              <w:jc w:val="center"/>
              <w:rPr>
                <w:rFonts w:ascii="仿宋" w:hAnsi="仿宋" w:eastAsia="仿宋" w:cs="仿宋"/>
                <w:color w:val="auto"/>
                <w:kern w:val="0"/>
                <w:sz w:val="22"/>
                <w:highlight w:val="none"/>
              </w:rPr>
            </w:pPr>
            <w:r>
              <w:rPr>
                <w:rFonts w:hint="eastAsia" w:ascii="仿宋" w:hAnsi="仿宋" w:eastAsia="仿宋" w:cs="仿宋"/>
                <w:color w:val="auto"/>
                <w:kern w:val="0"/>
                <w:sz w:val="22"/>
                <w:highlight w:val="none"/>
              </w:rPr>
              <w:t>绿色工业型</w:t>
            </w:r>
          </w:p>
        </w:tc>
        <w:tc>
          <w:tcPr>
            <w:tcW w:w="3349" w:type="pct"/>
            <w:vAlign w:val="center"/>
          </w:tcPr>
          <w:p>
            <w:pPr>
              <w:widowControl/>
              <w:spacing w:line="300" w:lineRule="exact"/>
              <w:ind w:firstLine="440"/>
              <w:rPr>
                <w:rFonts w:ascii="仿宋" w:hAnsi="仿宋" w:eastAsia="仿宋" w:cs="仿宋"/>
                <w:color w:val="auto"/>
                <w:kern w:val="0"/>
                <w:sz w:val="22"/>
                <w:highlight w:val="none"/>
              </w:rPr>
            </w:pPr>
            <w:r>
              <w:rPr>
                <w:rFonts w:hint="eastAsia" w:ascii="仿宋" w:hAnsi="仿宋" w:eastAsia="仿宋" w:cs="仿宋"/>
                <w:color w:val="auto"/>
                <w:kern w:val="0"/>
                <w:sz w:val="22"/>
                <w:highlight w:val="none"/>
              </w:rPr>
              <w:t>依托现有工业建设基础，逐步转型为绿色工业加工基地，推动发展绿色食品加工等产业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56" w:type="pct"/>
            <w:vAlign w:val="center"/>
          </w:tcPr>
          <w:p>
            <w:pPr>
              <w:widowControl/>
              <w:spacing w:line="300" w:lineRule="exact"/>
              <w:jc w:val="center"/>
              <w:rPr>
                <w:rFonts w:ascii="仿宋" w:hAnsi="仿宋" w:eastAsia="仿宋" w:cs="仿宋"/>
                <w:b/>
                <w:bCs/>
                <w:color w:val="auto"/>
                <w:kern w:val="0"/>
                <w:sz w:val="22"/>
                <w:highlight w:val="none"/>
              </w:rPr>
            </w:pPr>
            <w:r>
              <w:rPr>
                <w:rFonts w:hint="eastAsia" w:ascii="仿宋" w:hAnsi="仿宋" w:eastAsia="仿宋" w:cs="仿宋"/>
                <w:b/>
                <w:bCs/>
                <w:color w:val="auto"/>
                <w:kern w:val="0"/>
                <w:sz w:val="22"/>
                <w:highlight w:val="none"/>
              </w:rPr>
              <w:t>龙街镇</w:t>
            </w:r>
          </w:p>
        </w:tc>
        <w:tc>
          <w:tcPr>
            <w:tcW w:w="993" w:type="pct"/>
            <w:vAlign w:val="center"/>
          </w:tcPr>
          <w:p>
            <w:pPr>
              <w:widowControl/>
              <w:spacing w:line="300" w:lineRule="exact"/>
              <w:jc w:val="center"/>
              <w:rPr>
                <w:rFonts w:ascii="仿宋" w:hAnsi="仿宋" w:eastAsia="仿宋" w:cs="仿宋"/>
                <w:color w:val="auto"/>
                <w:kern w:val="0"/>
                <w:sz w:val="22"/>
                <w:highlight w:val="none"/>
              </w:rPr>
            </w:pPr>
            <w:r>
              <w:rPr>
                <w:rFonts w:hint="eastAsia" w:ascii="仿宋" w:hAnsi="仿宋" w:eastAsia="仿宋" w:cs="仿宋"/>
                <w:color w:val="auto"/>
                <w:kern w:val="0"/>
                <w:sz w:val="22"/>
                <w:highlight w:val="none"/>
              </w:rPr>
              <w:t>农贸型</w:t>
            </w:r>
          </w:p>
        </w:tc>
        <w:tc>
          <w:tcPr>
            <w:tcW w:w="3349" w:type="pct"/>
            <w:vAlign w:val="center"/>
          </w:tcPr>
          <w:p>
            <w:pPr>
              <w:widowControl/>
              <w:spacing w:line="300" w:lineRule="exact"/>
              <w:ind w:firstLine="440"/>
              <w:rPr>
                <w:rFonts w:ascii="仿宋" w:hAnsi="仿宋" w:eastAsia="仿宋" w:cs="仿宋"/>
                <w:color w:val="auto"/>
                <w:kern w:val="0"/>
                <w:sz w:val="22"/>
                <w:highlight w:val="none"/>
              </w:rPr>
            </w:pPr>
            <w:r>
              <w:rPr>
                <w:rFonts w:hint="eastAsia" w:ascii="仿宋" w:hAnsi="仿宋" w:eastAsia="仿宋" w:cs="仿宋"/>
                <w:color w:val="auto"/>
                <w:kern w:val="0"/>
                <w:sz w:val="22"/>
                <w:highlight w:val="none"/>
              </w:rPr>
              <w:t>发展优质水稻种植、特色果蔬种植产业和畜牧业，建设绿色食品和传统农业及现代观光农业产业小镇，并依托种植基地打造区域交易市场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656" w:type="pct"/>
            <w:vAlign w:val="center"/>
          </w:tcPr>
          <w:p>
            <w:pPr>
              <w:widowControl/>
              <w:spacing w:line="300" w:lineRule="exact"/>
              <w:jc w:val="center"/>
              <w:rPr>
                <w:rFonts w:ascii="仿宋" w:hAnsi="仿宋" w:eastAsia="仿宋" w:cs="仿宋"/>
                <w:b/>
                <w:bCs/>
                <w:color w:val="auto"/>
                <w:kern w:val="0"/>
                <w:sz w:val="22"/>
                <w:highlight w:val="none"/>
              </w:rPr>
            </w:pPr>
            <w:r>
              <w:rPr>
                <w:rFonts w:hint="eastAsia" w:ascii="仿宋" w:hAnsi="仿宋" w:eastAsia="仿宋" w:cs="仿宋"/>
                <w:b/>
                <w:bCs/>
                <w:color w:val="auto"/>
                <w:kern w:val="0"/>
                <w:sz w:val="22"/>
                <w:highlight w:val="none"/>
              </w:rPr>
              <w:t>赵家店镇</w:t>
            </w:r>
          </w:p>
        </w:tc>
        <w:tc>
          <w:tcPr>
            <w:tcW w:w="993" w:type="pct"/>
            <w:vAlign w:val="center"/>
          </w:tcPr>
          <w:p>
            <w:pPr>
              <w:widowControl/>
              <w:spacing w:line="300" w:lineRule="exact"/>
              <w:jc w:val="center"/>
              <w:rPr>
                <w:rFonts w:ascii="仿宋" w:hAnsi="仿宋" w:eastAsia="仿宋" w:cs="仿宋"/>
                <w:color w:val="auto"/>
                <w:kern w:val="0"/>
                <w:sz w:val="22"/>
                <w:highlight w:val="none"/>
              </w:rPr>
            </w:pPr>
            <w:r>
              <w:rPr>
                <w:rFonts w:hint="eastAsia" w:ascii="仿宋" w:hAnsi="仿宋" w:eastAsia="仿宋" w:cs="仿宋"/>
                <w:color w:val="auto"/>
                <w:kern w:val="0"/>
                <w:sz w:val="22"/>
                <w:highlight w:val="none"/>
              </w:rPr>
              <w:t>农贸型、旅游型</w:t>
            </w:r>
          </w:p>
        </w:tc>
        <w:tc>
          <w:tcPr>
            <w:tcW w:w="3349" w:type="pct"/>
            <w:vAlign w:val="center"/>
          </w:tcPr>
          <w:p>
            <w:pPr>
              <w:widowControl/>
              <w:spacing w:line="300" w:lineRule="exact"/>
              <w:ind w:firstLine="440"/>
              <w:rPr>
                <w:rFonts w:ascii="仿宋" w:hAnsi="仿宋" w:eastAsia="仿宋" w:cs="仿宋"/>
                <w:color w:val="auto"/>
                <w:kern w:val="0"/>
                <w:sz w:val="22"/>
                <w:highlight w:val="none"/>
              </w:rPr>
            </w:pPr>
            <w:r>
              <w:rPr>
                <w:rFonts w:hint="eastAsia" w:ascii="仿宋" w:hAnsi="仿宋" w:eastAsia="仿宋" w:cs="仿宋"/>
                <w:color w:val="auto"/>
                <w:kern w:val="0"/>
                <w:sz w:val="22"/>
                <w:highlight w:val="none"/>
              </w:rPr>
              <w:t>积极推广种植软籽石榴等特色水果，大力发展天竺葵种植，并引进精油深加工企业，打造大姚精油原料基地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656" w:type="pct"/>
            <w:vAlign w:val="center"/>
          </w:tcPr>
          <w:p>
            <w:pPr>
              <w:widowControl/>
              <w:spacing w:line="300" w:lineRule="exact"/>
              <w:jc w:val="center"/>
              <w:rPr>
                <w:rFonts w:ascii="仿宋" w:hAnsi="仿宋" w:eastAsia="仿宋" w:cs="仿宋"/>
                <w:b/>
                <w:bCs/>
                <w:color w:val="auto"/>
                <w:kern w:val="0"/>
                <w:sz w:val="22"/>
                <w:highlight w:val="none"/>
              </w:rPr>
            </w:pPr>
            <w:r>
              <w:rPr>
                <w:rFonts w:hint="eastAsia" w:ascii="仿宋" w:hAnsi="仿宋" w:eastAsia="仿宋" w:cs="仿宋"/>
                <w:b/>
                <w:bCs/>
                <w:color w:val="auto"/>
                <w:kern w:val="0"/>
                <w:sz w:val="22"/>
                <w:highlight w:val="none"/>
              </w:rPr>
              <w:t>新街镇</w:t>
            </w:r>
          </w:p>
        </w:tc>
        <w:tc>
          <w:tcPr>
            <w:tcW w:w="993" w:type="pct"/>
            <w:vAlign w:val="center"/>
          </w:tcPr>
          <w:p>
            <w:pPr>
              <w:widowControl/>
              <w:spacing w:line="300" w:lineRule="exact"/>
              <w:jc w:val="center"/>
              <w:rPr>
                <w:rFonts w:ascii="仿宋" w:hAnsi="仿宋" w:eastAsia="仿宋" w:cs="仿宋"/>
                <w:color w:val="auto"/>
                <w:kern w:val="0"/>
                <w:sz w:val="22"/>
                <w:highlight w:val="none"/>
              </w:rPr>
            </w:pPr>
            <w:r>
              <w:rPr>
                <w:rFonts w:hint="eastAsia" w:ascii="仿宋" w:hAnsi="仿宋" w:eastAsia="仿宋" w:cs="仿宋"/>
                <w:color w:val="auto"/>
                <w:kern w:val="0"/>
                <w:sz w:val="22"/>
                <w:highlight w:val="none"/>
              </w:rPr>
              <w:t>现代农业型</w:t>
            </w:r>
          </w:p>
        </w:tc>
        <w:tc>
          <w:tcPr>
            <w:tcW w:w="3349" w:type="pct"/>
            <w:vAlign w:val="center"/>
          </w:tcPr>
          <w:p>
            <w:pPr>
              <w:widowControl/>
              <w:spacing w:line="300" w:lineRule="exact"/>
              <w:ind w:firstLine="440"/>
              <w:rPr>
                <w:rFonts w:ascii="仿宋" w:hAnsi="仿宋" w:eastAsia="仿宋" w:cs="仿宋"/>
                <w:color w:val="auto"/>
                <w:kern w:val="0"/>
                <w:sz w:val="22"/>
                <w:highlight w:val="none"/>
              </w:rPr>
            </w:pPr>
            <w:r>
              <w:rPr>
                <w:rFonts w:hint="eastAsia" w:ascii="仿宋" w:hAnsi="仿宋" w:eastAsia="仿宋" w:cs="仿宋"/>
                <w:color w:val="auto"/>
                <w:kern w:val="0"/>
                <w:sz w:val="22"/>
                <w:highlight w:val="none"/>
              </w:rPr>
              <w:t>大力发展农产品加工，交易，仓储，物流产业，进一步巩固为粮烟基地，发展特色肉牛、黑山羊牲畜养殖，羊肚菌、玫瑰花、百合等特色蔬菜种植及中草药种植，打造新型现代农业产业和观光农业小镇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656" w:type="pct"/>
            <w:vAlign w:val="center"/>
          </w:tcPr>
          <w:p>
            <w:pPr>
              <w:widowControl/>
              <w:spacing w:line="300" w:lineRule="exact"/>
              <w:jc w:val="center"/>
              <w:rPr>
                <w:rFonts w:ascii="仿宋" w:hAnsi="仿宋" w:eastAsia="仿宋" w:cs="仿宋"/>
                <w:b/>
                <w:bCs/>
                <w:color w:val="auto"/>
                <w:kern w:val="0"/>
                <w:sz w:val="22"/>
                <w:highlight w:val="none"/>
              </w:rPr>
            </w:pPr>
            <w:r>
              <w:rPr>
                <w:rFonts w:hint="eastAsia" w:ascii="仿宋" w:hAnsi="仿宋" w:eastAsia="仿宋" w:cs="仿宋"/>
                <w:b/>
                <w:bCs/>
                <w:color w:val="auto"/>
                <w:kern w:val="0"/>
                <w:sz w:val="22"/>
                <w:highlight w:val="none"/>
              </w:rPr>
              <w:t>桂花镇</w:t>
            </w:r>
          </w:p>
        </w:tc>
        <w:tc>
          <w:tcPr>
            <w:tcW w:w="993" w:type="pct"/>
            <w:vAlign w:val="center"/>
          </w:tcPr>
          <w:p>
            <w:pPr>
              <w:widowControl/>
              <w:spacing w:line="300" w:lineRule="exact"/>
              <w:jc w:val="center"/>
              <w:rPr>
                <w:rFonts w:ascii="仿宋" w:hAnsi="仿宋" w:eastAsia="仿宋" w:cs="仿宋"/>
                <w:color w:val="auto"/>
                <w:kern w:val="0"/>
                <w:sz w:val="22"/>
                <w:highlight w:val="none"/>
              </w:rPr>
            </w:pPr>
            <w:r>
              <w:rPr>
                <w:rFonts w:hint="eastAsia" w:ascii="仿宋" w:hAnsi="仿宋" w:eastAsia="仿宋" w:cs="仿宋"/>
                <w:color w:val="auto"/>
                <w:kern w:val="0"/>
                <w:sz w:val="22"/>
                <w:highlight w:val="none"/>
              </w:rPr>
              <w:t>现代农业型、旅游型</w:t>
            </w:r>
          </w:p>
        </w:tc>
        <w:tc>
          <w:tcPr>
            <w:tcW w:w="3349" w:type="pct"/>
            <w:vAlign w:val="center"/>
          </w:tcPr>
          <w:p>
            <w:pPr>
              <w:widowControl/>
              <w:spacing w:line="300" w:lineRule="exact"/>
              <w:ind w:firstLine="440"/>
              <w:rPr>
                <w:rFonts w:ascii="仿宋" w:hAnsi="仿宋" w:eastAsia="仿宋" w:cs="仿宋"/>
                <w:color w:val="auto"/>
                <w:kern w:val="0"/>
                <w:sz w:val="22"/>
                <w:highlight w:val="none"/>
              </w:rPr>
            </w:pPr>
            <w:r>
              <w:rPr>
                <w:rFonts w:hint="eastAsia" w:ascii="仿宋" w:hAnsi="仿宋" w:eastAsia="仿宋" w:cs="仿宋"/>
                <w:color w:val="auto"/>
                <w:kern w:val="0"/>
                <w:sz w:val="22"/>
                <w:highlight w:val="none"/>
              </w:rPr>
              <w:t>巩固发展山地鸡、黑山羊特色养殖，促进核桃、花椒产业提质增效，建设环百草岭绿色生态产业小镇；充分发挥“楚雄彝族自治州第一高峰”资源优势，打造“清凉避暑胜地”品牌形象，发展以森林康养、山地运动为重点的康体养生业态，积极申报自必苴村为旅游名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56" w:type="pct"/>
            <w:vAlign w:val="center"/>
          </w:tcPr>
          <w:p>
            <w:pPr>
              <w:widowControl/>
              <w:spacing w:line="300" w:lineRule="exact"/>
              <w:jc w:val="center"/>
              <w:rPr>
                <w:rFonts w:ascii="仿宋" w:hAnsi="仿宋" w:eastAsia="仿宋" w:cs="仿宋"/>
                <w:b/>
                <w:bCs/>
                <w:color w:val="auto"/>
                <w:kern w:val="0"/>
                <w:sz w:val="22"/>
                <w:highlight w:val="none"/>
              </w:rPr>
            </w:pPr>
            <w:r>
              <w:rPr>
                <w:rFonts w:hint="eastAsia" w:ascii="仿宋" w:hAnsi="仿宋" w:eastAsia="仿宋" w:cs="仿宋"/>
                <w:b/>
                <w:bCs/>
                <w:color w:val="auto"/>
                <w:kern w:val="0"/>
                <w:sz w:val="22"/>
                <w:highlight w:val="none"/>
              </w:rPr>
              <w:t>三岔河镇</w:t>
            </w:r>
          </w:p>
        </w:tc>
        <w:tc>
          <w:tcPr>
            <w:tcW w:w="993" w:type="pct"/>
            <w:vAlign w:val="center"/>
          </w:tcPr>
          <w:p>
            <w:pPr>
              <w:widowControl/>
              <w:spacing w:line="300" w:lineRule="exact"/>
              <w:jc w:val="center"/>
              <w:rPr>
                <w:rFonts w:ascii="仿宋" w:hAnsi="仿宋" w:eastAsia="仿宋" w:cs="仿宋"/>
                <w:color w:val="auto"/>
                <w:kern w:val="0"/>
                <w:sz w:val="22"/>
                <w:highlight w:val="none"/>
              </w:rPr>
            </w:pPr>
            <w:r>
              <w:rPr>
                <w:rFonts w:hint="eastAsia" w:ascii="仿宋" w:hAnsi="仿宋" w:eastAsia="仿宋" w:cs="仿宋"/>
                <w:color w:val="auto"/>
                <w:kern w:val="0"/>
                <w:sz w:val="22"/>
                <w:highlight w:val="none"/>
              </w:rPr>
              <w:t>商贸型、生态农业型</w:t>
            </w:r>
          </w:p>
        </w:tc>
        <w:tc>
          <w:tcPr>
            <w:tcW w:w="3349" w:type="pct"/>
            <w:vAlign w:val="center"/>
          </w:tcPr>
          <w:p>
            <w:pPr>
              <w:widowControl/>
              <w:spacing w:line="300" w:lineRule="exact"/>
              <w:ind w:firstLine="440"/>
              <w:rPr>
                <w:rFonts w:ascii="仿宋" w:hAnsi="仿宋" w:eastAsia="仿宋" w:cs="仿宋"/>
                <w:color w:val="auto"/>
                <w:kern w:val="0"/>
                <w:sz w:val="22"/>
                <w:highlight w:val="none"/>
              </w:rPr>
            </w:pPr>
            <w:r>
              <w:rPr>
                <w:rFonts w:hint="eastAsia" w:ascii="仿宋" w:hAnsi="仿宋" w:eastAsia="仿宋" w:cs="仿宋"/>
                <w:color w:val="auto"/>
                <w:kern w:val="0"/>
                <w:sz w:val="22"/>
                <w:highlight w:val="none"/>
              </w:rPr>
              <w:t>发展花椒、核桃、板栗等经济林果，巩固壮大烤烟、油菜、魔芋等特色种植，建成配套设施完善的特色淡水水产养殖基地；绿色生态产业和西出大理交通节点商贸集散型小镇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56" w:type="pct"/>
            <w:vAlign w:val="center"/>
          </w:tcPr>
          <w:p>
            <w:pPr>
              <w:widowControl/>
              <w:spacing w:line="300" w:lineRule="exact"/>
              <w:jc w:val="center"/>
              <w:rPr>
                <w:rFonts w:ascii="仿宋" w:hAnsi="仿宋" w:eastAsia="仿宋" w:cs="仿宋"/>
                <w:b/>
                <w:bCs/>
                <w:color w:val="auto"/>
                <w:kern w:val="0"/>
                <w:sz w:val="22"/>
                <w:highlight w:val="none"/>
              </w:rPr>
            </w:pPr>
            <w:r>
              <w:rPr>
                <w:rFonts w:hint="eastAsia" w:ascii="仿宋" w:hAnsi="仿宋" w:eastAsia="仿宋" w:cs="仿宋"/>
                <w:b/>
                <w:bCs/>
                <w:color w:val="auto"/>
                <w:kern w:val="0"/>
                <w:sz w:val="22"/>
                <w:highlight w:val="none"/>
              </w:rPr>
              <w:t>昙华乡</w:t>
            </w:r>
          </w:p>
        </w:tc>
        <w:tc>
          <w:tcPr>
            <w:tcW w:w="993" w:type="pct"/>
            <w:vAlign w:val="center"/>
          </w:tcPr>
          <w:p>
            <w:pPr>
              <w:widowControl/>
              <w:spacing w:line="300" w:lineRule="exact"/>
              <w:jc w:val="center"/>
              <w:rPr>
                <w:rFonts w:ascii="仿宋" w:hAnsi="仿宋" w:eastAsia="仿宋" w:cs="仿宋"/>
                <w:color w:val="auto"/>
                <w:kern w:val="0"/>
                <w:sz w:val="22"/>
                <w:highlight w:val="none"/>
              </w:rPr>
            </w:pPr>
            <w:r>
              <w:rPr>
                <w:rFonts w:hint="eastAsia" w:ascii="仿宋" w:hAnsi="仿宋" w:eastAsia="仿宋" w:cs="仿宋"/>
                <w:color w:val="auto"/>
                <w:kern w:val="0"/>
                <w:sz w:val="22"/>
                <w:highlight w:val="none"/>
              </w:rPr>
              <w:t>现代农业型、旅游型</w:t>
            </w:r>
          </w:p>
        </w:tc>
        <w:tc>
          <w:tcPr>
            <w:tcW w:w="3349" w:type="pct"/>
            <w:vAlign w:val="center"/>
          </w:tcPr>
          <w:p>
            <w:pPr>
              <w:widowControl/>
              <w:spacing w:line="300" w:lineRule="exact"/>
              <w:ind w:firstLine="440"/>
              <w:rPr>
                <w:rFonts w:ascii="仿宋" w:hAnsi="仿宋" w:eastAsia="仿宋" w:cs="仿宋"/>
                <w:color w:val="auto"/>
                <w:kern w:val="0"/>
                <w:sz w:val="22"/>
                <w:highlight w:val="none"/>
              </w:rPr>
            </w:pPr>
            <w:r>
              <w:rPr>
                <w:rFonts w:hint="eastAsia" w:ascii="仿宋" w:hAnsi="仿宋" w:eastAsia="仿宋" w:cs="仿宋"/>
                <w:color w:val="auto"/>
                <w:kern w:val="0"/>
                <w:sz w:val="22"/>
                <w:highlight w:val="none"/>
              </w:rPr>
              <w:t>发展高山生态蔬菜、绿色经济林果、生态经济作物种植，依托百草岭和昙华山风景名胜区彝族文化体验康养度假旅游产业和绿色生态产业小镇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56" w:type="pct"/>
            <w:vAlign w:val="center"/>
          </w:tcPr>
          <w:p>
            <w:pPr>
              <w:widowControl/>
              <w:spacing w:line="300" w:lineRule="exact"/>
              <w:jc w:val="center"/>
              <w:rPr>
                <w:rFonts w:ascii="仿宋" w:hAnsi="仿宋" w:eastAsia="仿宋" w:cs="仿宋"/>
                <w:b/>
                <w:bCs/>
                <w:color w:val="auto"/>
                <w:kern w:val="0"/>
                <w:sz w:val="22"/>
                <w:highlight w:val="none"/>
              </w:rPr>
            </w:pPr>
            <w:r>
              <w:rPr>
                <w:rFonts w:hint="eastAsia" w:ascii="仿宋" w:hAnsi="仿宋" w:eastAsia="仿宋" w:cs="仿宋"/>
                <w:b/>
                <w:bCs/>
                <w:color w:val="auto"/>
                <w:kern w:val="0"/>
                <w:sz w:val="22"/>
                <w:highlight w:val="none"/>
              </w:rPr>
              <w:t>湾碧乡</w:t>
            </w:r>
          </w:p>
        </w:tc>
        <w:tc>
          <w:tcPr>
            <w:tcW w:w="993" w:type="pct"/>
            <w:vAlign w:val="center"/>
          </w:tcPr>
          <w:p>
            <w:pPr>
              <w:widowControl/>
              <w:spacing w:line="300" w:lineRule="exact"/>
              <w:jc w:val="center"/>
              <w:rPr>
                <w:rFonts w:ascii="仿宋" w:hAnsi="仿宋" w:eastAsia="仿宋" w:cs="仿宋"/>
                <w:color w:val="auto"/>
                <w:kern w:val="0"/>
                <w:sz w:val="22"/>
                <w:highlight w:val="none"/>
              </w:rPr>
            </w:pPr>
            <w:r>
              <w:rPr>
                <w:rFonts w:hint="eastAsia" w:ascii="仿宋" w:hAnsi="仿宋" w:eastAsia="仿宋" w:cs="仿宋"/>
                <w:color w:val="auto"/>
                <w:kern w:val="0"/>
                <w:sz w:val="22"/>
                <w:highlight w:val="none"/>
              </w:rPr>
              <w:t>商贸型</w:t>
            </w:r>
          </w:p>
        </w:tc>
        <w:tc>
          <w:tcPr>
            <w:tcW w:w="3349" w:type="pct"/>
            <w:vAlign w:val="center"/>
          </w:tcPr>
          <w:p>
            <w:pPr>
              <w:widowControl/>
              <w:spacing w:line="300" w:lineRule="exact"/>
              <w:ind w:firstLine="440"/>
              <w:rPr>
                <w:rFonts w:ascii="仿宋" w:hAnsi="仿宋" w:eastAsia="仿宋" w:cs="仿宋"/>
                <w:color w:val="auto"/>
                <w:kern w:val="0"/>
                <w:sz w:val="22"/>
                <w:highlight w:val="none"/>
              </w:rPr>
            </w:pPr>
            <w:r>
              <w:rPr>
                <w:rFonts w:hint="eastAsia" w:ascii="仿宋" w:hAnsi="仿宋" w:eastAsia="仿宋" w:cs="仿宋"/>
                <w:color w:val="auto"/>
                <w:kern w:val="0"/>
                <w:sz w:val="22"/>
                <w:highlight w:val="none"/>
              </w:rPr>
              <w:t>依托交通优势大力推动发展物流产业；发展黑山羊、生猪为主的生态畜牧养殖业，打造湾碧成为傣族风情特色文化旅游小镇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56" w:type="pct"/>
            <w:vAlign w:val="center"/>
          </w:tcPr>
          <w:p>
            <w:pPr>
              <w:widowControl/>
              <w:spacing w:line="300" w:lineRule="exact"/>
              <w:jc w:val="center"/>
              <w:rPr>
                <w:rFonts w:ascii="仿宋" w:hAnsi="仿宋" w:eastAsia="仿宋" w:cs="仿宋"/>
                <w:b/>
                <w:bCs/>
                <w:color w:val="auto"/>
                <w:kern w:val="0"/>
                <w:sz w:val="22"/>
                <w:highlight w:val="none"/>
              </w:rPr>
            </w:pPr>
            <w:r>
              <w:rPr>
                <w:rFonts w:hint="eastAsia" w:ascii="仿宋" w:hAnsi="仿宋" w:eastAsia="仿宋" w:cs="仿宋"/>
                <w:b/>
                <w:bCs/>
                <w:color w:val="auto"/>
                <w:kern w:val="0"/>
                <w:sz w:val="22"/>
                <w:highlight w:val="none"/>
              </w:rPr>
              <w:t>铁锁乡</w:t>
            </w:r>
          </w:p>
        </w:tc>
        <w:tc>
          <w:tcPr>
            <w:tcW w:w="993" w:type="pct"/>
            <w:vAlign w:val="center"/>
          </w:tcPr>
          <w:p>
            <w:pPr>
              <w:widowControl/>
              <w:spacing w:line="300" w:lineRule="exact"/>
              <w:jc w:val="center"/>
              <w:rPr>
                <w:rFonts w:ascii="仿宋" w:hAnsi="仿宋" w:eastAsia="仿宋" w:cs="仿宋"/>
                <w:color w:val="auto"/>
                <w:kern w:val="0"/>
                <w:sz w:val="22"/>
                <w:highlight w:val="none"/>
              </w:rPr>
            </w:pPr>
            <w:r>
              <w:rPr>
                <w:rFonts w:hint="eastAsia" w:ascii="仿宋" w:hAnsi="仿宋" w:eastAsia="仿宋" w:cs="仿宋"/>
                <w:color w:val="auto"/>
                <w:kern w:val="0"/>
                <w:sz w:val="22"/>
                <w:highlight w:val="none"/>
              </w:rPr>
              <w:t>现代农业型、旅游型</w:t>
            </w:r>
          </w:p>
        </w:tc>
        <w:tc>
          <w:tcPr>
            <w:tcW w:w="3349" w:type="pct"/>
            <w:vAlign w:val="center"/>
          </w:tcPr>
          <w:p>
            <w:pPr>
              <w:widowControl/>
              <w:spacing w:line="300" w:lineRule="exact"/>
              <w:ind w:firstLine="440"/>
              <w:rPr>
                <w:rFonts w:ascii="仿宋" w:hAnsi="仿宋" w:eastAsia="仿宋" w:cs="仿宋"/>
                <w:color w:val="auto"/>
                <w:kern w:val="0"/>
                <w:sz w:val="22"/>
                <w:highlight w:val="none"/>
              </w:rPr>
            </w:pPr>
            <w:r>
              <w:rPr>
                <w:rFonts w:hint="eastAsia" w:ascii="仿宋" w:hAnsi="仿宋" w:eastAsia="仿宋" w:cs="仿宋"/>
                <w:color w:val="auto"/>
                <w:kern w:val="0"/>
                <w:sz w:val="22"/>
                <w:highlight w:val="none"/>
              </w:rPr>
              <w:t>发展绿色经济林果、生态经济作物种植和特色畜禽养殖，建设绿色生态产业和沿江旅游产业小镇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6" w:type="pct"/>
            <w:vAlign w:val="center"/>
          </w:tcPr>
          <w:p>
            <w:pPr>
              <w:widowControl/>
              <w:spacing w:line="300" w:lineRule="exact"/>
              <w:jc w:val="center"/>
              <w:rPr>
                <w:rFonts w:ascii="仿宋" w:hAnsi="仿宋" w:eastAsia="仿宋" w:cs="仿宋"/>
                <w:b/>
                <w:bCs/>
                <w:color w:val="auto"/>
                <w:kern w:val="0"/>
                <w:sz w:val="22"/>
                <w:highlight w:val="none"/>
              </w:rPr>
            </w:pPr>
            <w:r>
              <w:rPr>
                <w:rFonts w:hint="eastAsia" w:ascii="仿宋" w:hAnsi="仿宋" w:eastAsia="仿宋" w:cs="仿宋"/>
                <w:b/>
                <w:bCs/>
                <w:color w:val="auto"/>
                <w:kern w:val="0"/>
                <w:sz w:val="22"/>
                <w:highlight w:val="none"/>
              </w:rPr>
              <w:t>三台乡</w:t>
            </w:r>
          </w:p>
        </w:tc>
        <w:tc>
          <w:tcPr>
            <w:tcW w:w="993" w:type="pct"/>
            <w:vAlign w:val="center"/>
          </w:tcPr>
          <w:p>
            <w:pPr>
              <w:widowControl/>
              <w:spacing w:line="300" w:lineRule="exact"/>
              <w:jc w:val="center"/>
              <w:rPr>
                <w:rFonts w:ascii="仿宋" w:hAnsi="仿宋" w:eastAsia="仿宋" w:cs="仿宋"/>
                <w:color w:val="auto"/>
                <w:kern w:val="0"/>
                <w:sz w:val="22"/>
                <w:highlight w:val="none"/>
              </w:rPr>
            </w:pPr>
            <w:r>
              <w:rPr>
                <w:rFonts w:hint="eastAsia" w:ascii="仿宋" w:hAnsi="仿宋" w:eastAsia="仿宋" w:cs="仿宋"/>
                <w:color w:val="auto"/>
                <w:kern w:val="0"/>
                <w:sz w:val="22"/>
                <w:highlight w:val="none"/>
              </w:rPr>
              <w:t>现代农业型、旅游型</w:t>
            </w:r>
          </w:p>
        </w:tc>
        <w:tc>
          <w:tcPr>
            <w:tcW w:w="3349" w:type="pct"/>
            <w:vAlign w:val="center"/>
          </w:tcPr>
          <w:p>
            <w:pPr>
              <w:widowControl/>
              <w:spacing w:line="300" w:lineRule="exact"/>
              <w:ind w:firstLine="440"/>
              <w:rPr>
                <w:rFonts w:ascii="仿宋" w:hAnsi="仿宋" w:eastAsia="仿宋" w:cs="仿宋"/>
                <w:color w:val="auto"/>
                <w:kern w:val="0"/>
                <w:sz w:val="22"/>
                <w:highlight w:val="none"/>
              </w:rPr>
            </w:pPr>
            <w:r>
              <w:rPr>
                <w:rFonts w:hint="eastAsia" w:ascii="仿宋" w:hAnsi="仿宋" w:eastAsia="仿宋" w:cs="仿宋"/>
                <w:color w:val="auto"/>
                <w:kern w:val="0"/>
                <w:sz w:val="22"/>
                <w:highlight w:val="none"/>
              </w:rPr>
              <w:t>发展核桃、青花椒、华山松等特色农产品，推广重楼等名贵中药材的种植；依托三台核桃森林公园国家3A级旅游景区，国家丙级民宿天籁等旅游资源和品牌优势源，重点打造三台乡田园综合度假区，推进三台乡过拉地村、三台社区旅游特色村建设，打造三台古树核桃庄园半山酒店</w:t>
            </w:r>
          </w:p>
        </w:tc>
      </w:tr>
    </w:tbl>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二、指标管控</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通过耕地保有量、永久基本农田保护面积、生态保护红线面积、城镇开发边界扩展倍数等约束性指标强化对资源总量和结构效率、空间管控底线的管控，通过城镇生活垃圾回收利用率等预期性指标引导各镇优化发展。按照县级国土空间总体规划指标分解落实形成各镇指标体系。各镇应严格落实县级下达规划约束性指标的要求，确保各项约束性指标完成，不得突破。</w:t>
      </w:r>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三、控制线管控</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通过永久基本农田保护红线、生态保护红线、城镇开发边界等底线传导，制定相应管控措施，确定各乡镇空间开发保护的底线要求；中心城区落实城市“四线”划定与管控，并探索划定工业用地控制线，保障工业发展空间，各类城镇建设行为及项目审批都应落实相应管控要求。</w:t>
      </w:r>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四、用途管制</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建立“用途分区—用地分类”的分级管控机制，通过县级国土空间总体规划划定主导用途分区，明确主导功能与国土空间利用主导方向，镇级国土空间规划基于规划用途分区边界进行细化落实，确定用地比例结构、用地分类，通过规划用途分区指引各镇进行精细化空间布局。</w:t>
      </w:r>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五、名录管控</w:t>
      </w:r>
    </w:p>
    <w:p>
      <w:pPr>
        <w:spacing w:line="560" w:lineRule="exact"/>
        <w:ind w:firstLine="640" w:firstLineChars="200"/>
        <w:rPr>
          <w:color w:val="auto"/>
          <w:highlight w:val="none"/>
        </w:rPr>
      </w:pPr>
      <w:r>
        <w:rPr>
          <w:rFonts w:hint="eastAsia" w:ascii="Times New Roman" w:hAnsi="Times New Roman" w:eastAsia="仿宋_GB2312" w:cs="Times New Roman"/>
          <w:color w:val="auto"/>
          <w:sz w:val="32"/>
          <w:szCs w:val="32"/>
          <w:highlight w:val="none"/>
        </w:rPr>
        <w:t>建立重大建设项目、土地整治项目、近期建设项目、重点生态修复工程等名录，向下传导发展建设、土地整治、生态修复等名录要求。</w:t>
      </w:r>
    </w:p>
    <w:p>
      <w:pPr>
        <w:keepNext/>
        <w:keepLines/>
        <w:numPr>
          <w:ilvl w:val="0"/>
          <w:numId w:val="15"/>
        </w:numPr>
        <w:spacing w:before="78" w:beforeLines="25" w:after="78" w:afterLines="25" w:line="700" w:lineRule="exact"/>
        <w:ind w:left="0" w:firstLine="0"/>
        <w:jc w:val="center"/>
        <w:outlineLvl w:val="1"/>
        <w:rPr>
          <w:rFonts w:ascii="黑体" w:hAnsi="黑体" w:eastAsia="黑体" w:cs="黑体"/>
          <w:b/>
          <w:bCs/>
          <w:color w:val="auto"/>
          <w:sz w:val="32"/>
          <w:szCs w:val="32"/>
          <w:highlight w:val="none"/>
        </w:rPr>
      </w:pPr>
      <w:bookmarkStart w:id="90" w:name="_Toc31042"/>
      <w:r>
        <w:rPr>
          <w:rFonts w:hint="eastAsia" w:ascii="黑体" w:hAnsi="黑体" w:eastAsia="黑体" w:cs="黑体"/>
          <w:b/>
          <w:bCs/>
          <w:color w:val="auto"/>
          <w:sz w:val="32"/>
          <w:szCs w:val="32"/>
          <w:highlight w:val="none"/>
        </w:rPr>
        <w:t>详细规划指引</w:t>
      </w:r>
      <w:bookmarkEnd w:id="90"/>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一、按照管理单元划分与指引</w:t>
      </w:r>
    </w:p>
    <w:p>
      <w:pPr>
        <w:spacing w:line="560" w:lineRule="exact"/>
        <w:ind w:firstLine="640" w:firstLineChars="200"/>
        <w:rPr>
          <w:rFonts w:ascii="Times New Roman" w:hAnsi="Times New Roman" w:eastAsia="仿宋_GB2312" w:cs="Times New Roman"/>
          <w:bCs/>
          <w:strike/>
          <w:color w:val="auto"/>
          <w:sz w:val="32"/>
          <w:szCs w:val="32"/>
          <w:highlight w:val="none"/>
        </w:rPr>
      </w:pPr>
      <w:r>
        <w:rPr>
          <w:rFonts w:ascii="Times New Roman" w:hAnsi="Times New Roman" w:eastAsia="仿宋_GB2312" w:cs="Times New Roman"/>
          <w:bCs/>
          <w:color w:val="auto"/>
          <w:sz w:val="32"/>
          <w:szCs w:val="32"/>
          <w:highlight w:val="none"/>
        </w:rPr>
        <w:t>规划划定</w:t>
      </w:r>
      <w:r>
        <w:rPr>
          <w:rFonts w:ascii="Times New Roman" w:hAnsi="Times New Roman" w:eastAsia="仿宋_GB2312" w:cs="Times New Roman"/>
          <w:color w:val="auto"/>
          <w:sz w:val="32"/>
          <w:szCs w:val="32"/>
          <w:highlight w:val="none"/>
        </w:rPr>
        <w:t>大姚县全域</w:t>
      </w:r>
      <w:r>
        <w:rPr>
          <w:rFonts w:ascii="Times New Roman" w:hAnsi="Times New Roman" w:eastAsia="仿宋_GB2312" w:cs="Times New Roman"/>
          <w:bCs/>
          <w:color w:val="auto"/>
          <w:sz w:val="32"/>
          <w:szCs w:val="32"/>
          <w:highlight w:val="none"/>
        </w:rPr>
        <w:t>详细规划单元</w:t>
      </w:r>
      <w:r>
        <w:rPr>
          <w:rFonts w:ascii="Times New Roman" w:hAnsi="Times New Roman" w:eastAsia="仿宋_GB2312" w:cs="Times New Roman"/>
          <w:color w:val="auto"/>
          <w:sz w:val="32"/>
          <w:szCs w:val="32"/>
          <w:highlight w:val="none"/>
        </w:rPr>
        <w:t>17个</w:t>
      </w:r>
      <w:r>
        <w:rPr>
          <w:rFonts w:ascii="Times New Roman" w:hAnsi="Times New Roman" w:eastAsia="仿宋_GB2312" w:cs="Times New Roman"/>
          <w:bCs/>
          <w:color w:val="auto"/>
          <w:sz w:val="32"/>
          <w:szCs w:val="32"/>
          <w:highlight w:val="none"/>
        </w:rPr>
        <w:t>，</w:t>
      </w:r>
      <w:r>
        <w:rPr>
          <w:rFonts w:ascii="Times New Roman" w:hAnsi="Times New Roman" w:eastAsia="仿宋_GB2312" w:cs="Times New Roman"/>
          <w:color w:val="auto"/>
          <w:sz w:val="32"/>
          <w:szCs w:val="32"/>
          <w:highlight w:val="none"/>
        </w:rPr>
        <w:t>包括15个城镇单元和2个特殊单元，其中，中心城区划定3个详细规划编制单元。</w:t>
      </w:r>
      <w:r>
        <w:rPr>
          <w:rFonts w:ascii="Times New Roman" w:hAnsi="Times New Roman" w:eastAsia="仿宋_GB2312" w:cs="Times New Roman"/>
          <w:bCs/>
          <w:color w:val="auto"/>
          <w:sz w:val="32"/>
          <w:szCs w:val="32"/>
          <w:highlight w:val="none"/>
        </w:rPr>
        <w:t>城镇单元中</w:t>
      </w:r>
      <w:r>
        <w:rPr>
          <w:rFonts w:ascii="Times New Roman" w:hAnsi="Times New Roman" w:eastAsia="仿宋_GB2312" w:cs="Times New Roman"/>
          <w:color w:val="auto"/>
          <w:sz w:val="32"/>
          <w:szCs w:val="32"/>
          <w:highlight w:val="none"/>
        </w:rPr>
        <w:t>工业发展</w:t>
      </w:r>
      <w:r>
        <w:rPr>
          <w:rFonts w:ascii="Times New Roman" w:hAnsi="Times New Roman" w:eastAsia="仿宋_GB2312" w:cs="Times New Roman"/>
          <w:bCs/>
          <w:color w:val="auto"/>
          <w:sz w:val="32"/>
          <w:szCs w:val="32"/>
          <w:highlight w:val="none"/>
        </w:rPr>
        <w:t>主导功能的2个，</w:t>
      </w:r>
      <w:r>
        <w:rPr>
          <w:rFonts w:ascii="Times New Roman" w:hAnsi="Times New Roman" w:eastAsia="仿宋_GB2312" w:cs="Times New Roman"/>
          <w:color w:val="auto"/>
          <w:sz w:val="32"/>
          <w:szCs w:val="32"/>
          <w:highlight w:val="none"/>
        </w:rPr>
        <w:t>居住生活</w:t>
      </w:r>
      <w:r>
        <w:rPr>
          <w:rFonts w:ascii="Times New Roman" w:hAnsi="Times New Roman" w:eastAsia="仿宋_GB2312" w:cs="Times New Roman"/>
          <w:bCs/>
          <w:color w:val="auto"/>
          <w:sz w:val="32"/>
          <w:szCs w:val="32"/>
          <w:highlight w:val="none"/>
        </w:rPr>
        <w:t>主导功能的1个，</w:t>
      </w:r>
      <w:r>
        <w:rPr>
          <w:rFonts w:ascii="Times New Roman" w:hAnsi="Times New Roman" w:eastAsia="仿宋_GB2312" w:cs="Times New Roman"/>
          <w:color w:val="auto"/>
          <w:sz w:val="32"/>
          <w:szCs w:val="32"/>
          <w:highlight w:val="none"/>
        </w:rPr>
        <w:t>综合服务</w:t>
      </w:r>
      <w:r>
        <w:rPr>
          <w:rFonts w:ascii="Times New Roman" w:hAnsi="Times New Roman" w:eastAsia="仿宋_GB2312" w:cs="Times New Roman"/>
          <w:bCs/>
          <w:color w:val="auto"/>
          <w:sz w:val="32"/>
          <w:szCs w:val="32"/>
          <w:highlight w:val="none"/>
        </w:rPr>
        <w:t>主导功能的11个，</w:t>
      </w:r>
      <w:r>
        <w:rPr>
          <w:rFonts w:ascii="Times New Roman" w:hAnsi="Times New Roman" w:eastAsia="仿宋_GB2312" w:cs="Times New Roman"/>
          <w:color w:val="auto"/>
          <w:sz w:val="32"/>
          <w:szCs w:val="32"/>
          <w:highlight w:val="none"/>
        </w:rPr>
        <w:t>矿产能源</w:t>
      </w:r>
      <w:r>
        <w:rPr>
          <w:rFonts w:ascii="Times New Roman" w:hAnsi="Times New Roman" w:eastAsia="仿宋_GB2312" w:cs="Times New Roman"/>
          <w:bCs/>
          <w:color w:val="auto"/>
          <w:sz w:val="32"/>
          <w:szCs w:val="32"/>
          <w:highlight w:val="none"/>
        </w:rPr>
        <w:t>主导功能的1个。特殊单元中</w:t>
      </w:r>
      <w:r>
        <w:rPr>
          <w:rFonts w:ascii="Times New Roman" w:hAnsi="Times New Roman" w:eastAsia="仿宋_GB2312" w:cs="Times New Roman"/>
          <w:color w:val="auto"/>
          <w:sz w:val="32"/>
          <w:szCs w:val="32"/>
          <w:highlight w:val="none"/>
        </w:rPr>
        <w:t>旅游康养</w:t>
      </w:r>
      <w:r>
        <w:rPr>
          <w:rFonts w:ascii="Times New Roman" w:hAnsi="Times New Roman" w:eastAsia="仿宋_GB2312" w:cs="Times New Roman"/>
          <w:bCs/>
          <w:color w:val="auto"/>
          <w:sz w:val="32"/>
          <w:szCs w:val="32"/>
          <w:highlight w:val="none"/>
        </w:rPr>
        <w:t>主导功能的2个，</w:t>
      </w:r>
      <w:r>
        <w:rPr>
          <w:rFonts w:ascii="Times New Roman" w:hAnsi="Times New Roman" w:eastAsia="仿宋_GB2312" w:cs="Times New Roman"/>
          <w:color w:val="auto"/>
          <w:sz w:val="32"/>
          <w:szCs w:val="32"/>
          <w:highlight w:val="none"/>
        </w:rPr>
        <w:t>旅游度假</w:t>
      </w:r>
      <w:r>
        <w:rPr>
          <w:rFonts w:ascii="Times New Roman" w:hAnsi="Times New Roman" w:eastAsia="仿宋_GB2312" w:cs="Times New Roman"/>
          <w:bCs/>
          <w:color w:val="auto"/>
          <w:sz w:val="32"/>
          <w:szCs w:val="32"/>
          <w:highlight w:val="none"/>
        </w:rPr>
        <w:t>主导功能的1个。</w:t>
      </w:r>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二、落实上位国土空间规划要求</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确定的永久基本农田和永久基本农田储备区、生态保护红线、村庄建设边界和规模以及其他目标和指标，突出分类引导、加强重点区域管控、注重规划内容的弹性引导，助力民族团结进步、乡村振兴、美丽乡村建设。</w:t>
      </w:r>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三、编制“多规合一”实用性村庄规划</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按照村域全覆盖的要求，充分整合村域资源，保护村域自然环境，统筹安排建设用地和村民宅基地布局，合理配置村庄公共服务设施和基础设施，正确引导产业发展，改善村庄人居环境，指导村庄建设和发展。</w:t>
      </w:r>
    </w:p>
    <w:p>
      <w:pPr>
        <w:keepNext/>
        <w:keepLines/>
        <w:numPr>
          <w:ilvl w:val="0"/>
          <w:numId w:val="15"/>
        </w:numPr>
        <w:spacing w:before="78" w:beforeLines="25" w:after="78" w:afterLines="25" w:line="700" w:lineRule="exact"/>
        <w:ind w:left="0" w:firstLine="0"/>
        <w:jc w:val="center"/>
        <w:outlineLvl w:val="1"/>
        <w:rPr>
          <w:rFonts w:ascii="黑体" w:hAnsi="黑体" w:eastAsia="黑体" w:cs="黑体"/>
          <w:b/>
          <w:bCs/>
          <w:color w:val="auto"/>
          <w:sz w:val="32"/>
          <w:szCs w:val="32"/>
          <w:highlight w:val="none"/>
        </w:rPr>
      </w:pPr>
      <w:bookmarkStart w:id="91" w:name="_Toc3372"/>
      <w:r>
        <w:rPr>
          <w:rFonts w:hint="eastAsia" w:ascii="黑体" w:hAnsi="黑体" w:eastAsia="黑体" w:cs="黑体"/>
          <w:b/>
          <w:bCs/>
          <w:color w:val="auto"/>
          <w:sz w:val="32"/>
          <w:szCs w:val="32"/>
          <w:highlight w:val="none"/>
        </w:rPr>
        <w:t>相关专项规划指引</w:t>
      </w:r>
      <w:bookmarkEnd w:id="91"/>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一、指导约束</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横向发挥县级总体规划对相关专项规划的指导约束作用，实施专项规划编制目录清单管理制度，以总体规划为依据，重点从资源利用、要素配置、安全保护、城市特色等方面编制专项规划。</w:t>
      </w:r>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二、专项规划目录清单</w:t>
      </w:r>
    </w:p>
    <w:p>
      <w:pPr>
        <w:spacing w:line="560" w:lineRule="exact"/>
        <w:ind w:firstLine="640" w:firstLineChars="200"/>
        <w:rPr>
          <w:color w:val="auto"/>
          <w:highlight w:val="none"/>
        </w:rPr>
      </w:pPr>
      <w:r>
        <w:rPr>
          <w:rFonts w:hint="eastAsia" w:ascii="Times New Roman" w:hAnsi="Times New Roman" w:eastAsia="仿宋_GB2312" w:cs="Times New Roman"/>
          <w:color w:val="auto"/>
          <w:sz w:val="32"/>
          <w:szCs w:val="32"/>
          <w:highlight w:val="none"/>
        </w:rPr>
        <w:t>凡是涉及空间利用的专项规划</w:t>
      </w:r>
      <w:r>
        <w:rPr>
          <w:rFonts w:hint="eastAsia" w:ascii="Times New Roman" w:hAnsi="Times New Roman" w:eastAsia="仿宋_GB2312" w:cs="Times New Roman"/>
          <w:color w:val="auto"/>
          <w:sz w:val="32"/>
          <w:szCs w:val="32"/>
          <w:highlight w:val="none"/>
          <w:lang w:val="en-US" w:eastAsia="zh-CN"/>
        </w:rPr>
        <w:t>应</w:t>
      </w:r>
      <w:r>
        <w:rPr>
          <w:rFonts w:hint="eastAsia" w:ascii="Times New Roman" w:hAnsi="Times New Roman" w:eastAsia="仿宋_GB2312" w:cs="Times New Roman"/>
          <w:color w:val="auto"/>
          <w:sz w:val="32"/>
          <w:szCs w:val="32"/>
          <w:highlight w:val="none"/>
        </w:rPr>
        <w:t>申请纳入目录清单。相关专项规划主要包括特定区域（流域）类专项规划、特定领域类专项规划、自然资源类专项规划以及其他涉及空间利用的专项规划。纳入目录清单的相关专项规划予以提供与国土空间规划统一的底数底图，在总体目标和重点管控内容等涉及空间利用的规划内容上与总体规划保持衔接一致，不得突破总体规划约束性要求。建立大姚县国土空间专项规划目录清单管理制度。国土空间相关专项规划要相互协同，有关部门牵头，主要内容应动态纳入详细规划。规划期内，专项规划编制名单可根据发展需求进行动态调整。</w:t>
      </w:r>
    </w:p>
    <w:p>
      <w:pPr>
        <w:keepNext/>
        <w:keepLines/>
        <w:numPr>
          <w:ilvl w:val="0"/>
          <w:numId w:val="15"/>
        </w:numPr>
        <w:spacing w:before="78" w:beforeLines="25" w:after="78" w:afterLines="25" w:line="700" w:lineRule="exact"/>
        <w:ind w:left="0" w:firstLine="0"/>
        <w:jc w:val="center"/>
        <w:outlineLvl w:val="1"/>
        <w:rPr>
          <w:rFonts w:ascii="黑体" w:hAnsi="黑体" w:eastAsia="黑体" w:cs="黑体"/>
          <w:b/>
          <w:bCs/>
          <w:color w:val="auto"/>
          <w:sz w:val="32"/>
          <w:szCs w:val="32"/>
          <w:highlight w:val="none"/>
        </w:rPr>
      </w:pPr>
      <w:bookmarkStart w:id="92" w:name="_Toc10876"/>
      <w:r>
        <w:rPr>
          <w:rFonts w:hint="eastAsia" w:ascii="黑体" w:hAnsi="黑体" w:eastAsia="黑体" w:cs="黑体"/>
          <w:b/>
          <w:bCs/>
          <w:color w:val="auto"/>
          <w:sz w:val="32"/>
          <w:szCs w:val="32"/>
          <w:highlight w:val="none"/>
        </w:rPr>
        <w:t>实施保障政策与措施</w:t>
      </w:r>
      <w:bookmarkEnd w:id="92"/>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一、构建规划传导体系</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纵向构建“县总体规划—镇总体规划—详细规划”的传导体系，逐级分解传导核心指标和管控内容，下位规划要落实上位规划的目标指标、底线管控、空间布局及要素配置等内容。其中，详细规划包括城镇开发边界内详细规划、城镇开发边界外村庄规划及风景名胜区详细规划等类型。</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横向构建“总体规划—专项规划”的传导体系，大姚县共构建资源利用与安全保护、要素配置、城市特色、行动实施四大类专项规划编制清单及计划，并依据县总体规划按清单编制各类专项规划。</w:t>
      </w:r>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二、建立国土空间用途管制制度</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根据全域国土空间规划分区制定差异化用途管制制度。城镇开发边界内实行“详细规划+规划许可”，城镇开发边界外根据生态保护区、自然保留区、永久基本农田集中区、农业农村发展区等不同功能主导分区制定“约束指标+分区准入”控制要求。</w:t>
      </w:r>
    </w:p>
    <w:p>
      <w:pPr>
        <w:pStyle w:val="4"/>
        <w:numPr>
          <w:ilvl w:val="2"/>
          <w:numId w:val="0"/>
        </w:numPr>
        <w:spacing w:before="0" w:after="0" w:line="560" w:lineRule="exact"/>
        <w:ind w:firstLine="640" w:firstLineChars="200"/>
        <w:rPr>
          <w:rFonts w:ascii="黑体" w:hAnsi="黑体" w:eastAsia="黑体" w:cs="黑体"/>
          <w:b w:val="0"/>
          <w:bCs w:val="0"/>
          <w:color w:val="auto"/>
          <w:highlight w:val="none"/>
        </w:rPr>
      </w:pPr>
      <w:r>
        <w:rPr>
          <w:rFonts w:hint="eastAsia" w:ascii="黑体" w:hAnsi="黑体" w:eastAsia="黑体" w:cs="黑体"/>
          <w:b w:val="0"/>
          <w:bCs w:val="0"/>
          <w:color w:val="auto"/>
          <w:highlight w:val="none"/>
        </w:rPr>
        <w:t>三、加强规划实施监测评估</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依托国土空间基础信息与管理平台，建立国土空间开发保护现状动态监测预警机制，健全规划智慧管控手段，强化对规划、建设、管理全过程信息化监督。建立“一年一体检、五年一评估”的规划定期评估制度，根据结果适时进行国土空间规划修改或动态维护，对规划实施工作进行反馈和修正。</w:t>
      </w:r>
    </w:p>
    <w:p>
      <w:pPr>
        <w:keepNext/>
        <w:keepLines/>
        <w:numPr>
          <w:ilvl w:val="0"/>
          <w:numId w:val="15"/>
        </w:numPr>
        <w:spacing w:before="78" w:beforeLines="25" w:after="78" w:afterLines="25" w:line="700" w:lineRule="exact"/>
        <w:ind w:left="0" w:firstLine="0"/>
        <w:jc w:val="center"/>
        <w:outlineLvl w:val="1"/>
        <w:rPr>
          <w:rFonts w:ascii="黑体" w:hAnsi="黑体" w:eastAsia="黑体" w:cs="黑体"/>
          <w:b/>
          <w:bCs/>
          <w:color w:val="auto"/>
          <w:sz w:val="32"/>
          <w:szCs w:val="32"/>
          <w:highlight w:val="none"/>
        </w:rPr>
      </w:pPr>
      <w:bookmarkStart w:id="93" w:name="_Toc31309"/>
      <w:bookmarkStart w:id="94" w:name="_GoBack"/>
      <w:bookmarkEnd w:id="94"/>
      <w:r>
        <w:rPr>
          <w:rFonts w:hint="eastAsia" w:ascii="黑体" w:hAnsi="黑体" w:eastAsia="黑体" w:cs="黑体"/>
          <w:b/>
          <w:bCs/>
          <w:color w:val="auto"/>
          <w:sz w:val="32"/>
          <w:szCs w:val="32"/>
          <w:highlight w:val="none"/>
        </w:rPr>
        <w:t>“一张图”实施监督信息系统建设</w:t>
      </w:r>
      <w:bookmarkEnd w:id="93"/>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依托国土空间信息平台，以国土空间开发保护现状、国土空间规划编制成果上图入库为基础，整合政府各部门空间规划、项目管理、行政审批信息系统，促进部门之间的数据共享和信息交互、国土空间规划编制和管控的部门协同、建设工程项目联合审批、规划体检评估、监测预警以及服务群众等功能。</w:t>
      </w:r>
    </w:p>
    <w:p>
      <w:pPr>
        <w:widowControl/>
        <w:jc w:val="left"/>
        <w:rPr>
          <w:rFonts w:ascii="仿宋_GB2312" w:eastAsia="仿宋_GB2312"/>
          <w:color w:val="auto"/>
          <w:sz w:val="32"/>
          <w:szCs w:val="32"/>
          <w:highlight w:val="none"/>
        </w:rPr>
      </w:pPr>
    </w:p>
    <w:p>
      <w:pPr>
        <w:rPr>
          <w:color w:val="auto"/>
          <w:highlight w:val="none"/>
        </w:rPr>
      </w:pPr>
    </w:p>
    <w:p>
      <w:pPr>
        <w:widowControl/>
        <w:spacing w:line="300" w:lineRule="auto"/>
        <w:jc w:val="right"/>
        <w:textAlignment w:val="center"/>
        <w:rPr>
          <w:rFonts w:hint="eastAsia" w:ascii="仿宋" w:hAnsi="仿宋" w:eastAsia="仿宋" w:cs="仿宋"/>
          <w:color w:val="auto"/>
          <w:kern w:val="0"/>
          <w:sz w:val="24"/>
          <w:szCs w:val="24"/>
          <w:highlight w:val="none"/>
          <w:lang w:bidi="ar"/>
        </w:rPr>
      </w:pPr>
    </w:p>
    <w:p>
      <w:pPr>
        <w:numPr>
          <w:ilvl w:val="0"/>
          <w:numId w:val="0"/>
        </w:numPr>
        <w:spacing w:line="400" w:lineRule="exact"/>
        <w:ind w:leftChars="0"/>
        <w:jc w:val="left"/>
        <w:rPr>
          <w:rFonts w:ascii="黑体" w:hAnsi="黑体" w:eastAsia="黑体" w:cs="黑体"/>
          <w:color w:val="auto"/>
          <w:sz w:val="20"/>
          <w:szCs w:val="20"/>
          <w:highlight w:val="none"/>
        </w:rPr>
      </w:pPr>
    </w:p>
    <w:sectPr>
      <w:headerReference r:id="rId12" w:type="default"/>
      <w:footerReference r:id="rId1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简体">
    <w:panose1 w:val="02000000000000000000"/>
    <w:charset w:val="86"/>
    <w:family w:val="script"/>
    <w:pitch w:val="default"/>
    <w:sig w:usb0="A00002BF" w:usb1="184F6CFA" w:usb2="00000012" w:usb3="00000000" w:csb0="00040001" w:csb1="00000000"/>
  </w:font>
  <w:font w:name="Microsoft JhengHei">
    <w:panose1 w:val="020B0604030504040204"/>
    <w:charset w:val="88"/>
    <w:family w:val="swiss"/>
    <w:pitch w:val="default"/>
    <w:sig w:usb0="000002A7" w:usb1="28CF4400" w:usb2="00000016" w:usb3="00000000" w:csb0="00100009" w:csb1="00000000"/>
  </w:font>
  <w:font w:name="Microsoft YaHei UI">
    <w:panose1 w:val="020B0503020204020204"/>
    <w:charset w:val="86"/>
    <w:family w:val="swiss"/>
    <w:pitch w:val="default"/>
    <w:sig w:usb0="80000287" w:usb1="2ACF3C50" w:usb2="00000016" w:usb3="00000000" w:csb0="0004001F" w:csb1="00000000"/>
  </w:font>
  <w:font w:name="Malgun Gothic Semilight">
    <w:panose1 w:val="020B0502040204020203"/>
    <w:charset w:val="86"/>
    <w:family w:val="swiss"/>
    <w:pitch w:val="default"/>
    <w:sig w:usb0="900002AF" w:usb1="01D77CFB" w:usb2="00000012" w:usb3="00000000" w:csb0="203E01BD" w:csb1="D7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1312" behindDoc="0" locked="0" layoutInCell="1" allowOverlap="1">
              <wp:simplePos x="0" y="0"/>
              <wp:positionH relativeFrom="margin">
                <wp:posOffset>2707005</wp:posOffset>
              </wp:positionH>
              <wp:positionV relativeFrom="paragraph">
                <wp:posOffset>15875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3</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3.15pt;margin-top:1.25pt;height:144pt;width:144pt;mso-position-horizontal-relative:margin;mso-wrap-style:none;z-index:251661312;mso-width-relative:page;mso-height-relative:page;" filled="f" stroked="f" coordsize="21600,21600" o:gfxdata="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66jd1gAAAAkBAAAPAAAAAAAAAAEAIAAAACIAAABkcnMvZG93bnJldi54bWxQSwECFAAU&#10;AAAACACHTuJAr2PYMCwCAABVBAAADgAAAAAAAAABACAAAAAlAQAAZHJzL2Uyb0RvYy54bWxQSwUG&#10;AAAAAAYABgBZAQAAwwUAAAAA&#10;">
              <v:fill on="f" focussize="0,0"/>
              <v:stroke on="f" weight="0.5pt"/>
              <v:imagedata o:title=""/>
              <o:lock v:ext="edit" aspectratio="f"/>
              <v:textbox inset="0mm,0mm,0mm,0mm" style="mso-fit-shape-to-text:t;">
                <w:txbxContent>
                  <w:p>
                    <w:pPr>
                      <w:pStyle w:val="2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3</w:t>
                    </w:r>
                    <w:r>
                      <w:rPr>
                        <w:rFonts w:ascii="Times New Roman" w:hAnsi="Times New Roman" w:cs="Times New Roman"/>
                        <w:sz w:val="24"/>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133</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133</w:t>
                    </w:r>
                    <w:r>
                      <w:rPr>
                        <w:rFonts w:ascii="Times New Roman" w:hAnsi="Times New Roman" w:cs="Times New Roman"/>
                        <w:sz w:val="24"/>
                        <w:szCs w:val="2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218</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218</w:t>
                    </w:r>
                    <w:r>
                      <w:rPr>
                        <w:rFonts w:ascii="Times New Roman" w:hAnsi="Times New Roman" w:cs="Times New Roman"/>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rPr>
        <w:rFonts w:hint="eastAsia" w:ascii="Times New Roman" w:hAnsi="Times New Roman" w:eastAsia="仿宋" w:cs="Times New Roman"/>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rFonts w:hint="eastAsia" w:ascii="Times New Roman" w:hAnsi="Times New Roman" w:eastAsia="仿宋" w:cs="Times New Roman"/>
        <w:sz w:val="18"/>
        <w:szCs w:val="18"/>
        <w:lang w:val="en-US" w:eastAsia="zh-CN"/>
      </w:rPr>
    </w:pPr>
    <w:r>
      <w:rPr>
        <w:rFonts w:ascii="Times New Roman" w:hAnsi="Times New Roman" w:eastAsia="仿宋" w:cs="Times New Roman"/>
      </w:rPr>
      <w:t>大姚县国土空间总体规划（2021-2035年）</w:t>
    </w:r>
    <w:r>
      <w:rPr>
        <w:rFonts w:hint="eastAsia" w:ascii="Times New Roman" w:hAnsi="Times New Roman" w:eastAsia="仿宋" w:cs="Times New Roman"/>
        <w:lang w:val="en-US" w:eastAsia="zh-CN"/>
      </w:rPr>
      <w:t>文本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rPr>
        <w:rFonts w:hint="eastAsia" w:ascii="Times New Roman" w:hAnsi="Times New Roman" w:eastAsia="仿宋" w:cs="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5A59E9"/>
    <w:multiLevelType w:val="singleLevel"/>
    <w:tmpl w:val="A65A59E9"/>
    <w:lvl w:ilvl="0" w:tentative="0">
      <w:start w:val="1"/>
      <w:numFmt w:val="decimal"/>
      <w:suff w:val="space"/>
      <w:lvlText w:val="%1."/>
      <w:lvlJc w:val="left"/>
    </w:lvl>
  </w:abstractNum>
  <w:abstractNum w:abstractNumId="1">
    <w:nsid w:val="A920B114"/>
    <w:multiLevelType w:val="multilevel"/>
    <w:tmpl w:val="A920B114"/>
    <w:lvl w:ilvl="0" w:tentative="0">
      <w:start w:val="1"/>
      <w:numFmt w:val="chineseCountingThousand"/>
      <w:lvlText w:val="第%1节"/>
      <w:lvlJc w:val="left"/>
      <w:pPr>
        <w:ind w:left="907" w:hanging="340"/>
      </w:pPr>
      <w:rPr>
        <w:rFonts w:hint="default"/>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CAC5A80A"/>
    <w:multiLevelType w:val="multilevel"/>
    <w:tmpl w:val="CAC5A80A"/>
    <w:lvl w:ilvl="0" w:tentative="0">
      <w:start w:val="1"/>
      <w:numFmt w:val="chineseCountingThousand"/>
      <w:lvlText w:val="第%1节"/>
      <w:lvlJc w:val="left"/>
      <w:pPr>
        <w:ind w:left="907" w:hanging="340"/>
      </w:pPr>
      <w:rPr>
        <w:rFonts w:hint="default"/>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D727CA8E"/>
    <w:multiLevelType w:val="multilevel"/>
    <w:tmpl w:val="D727CA8E"/>
    <w:lvl w:ilvl="0" w:tentative="0">
      <w:start w:val="1"/>
      <w:numFmt w:val="chineseCountingThousand"/>
      <w:lvlText w:val="第%1节"/>
      <w:lvlJc w:val="left"/>
      <w:pPr>
        <w:ind w:left="907" w:hanging="340"/>
      </w:pPr>
      <w:rPr>
        <w:rFonts w:hint="default"/>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DD193321"/>
    <w:multiLevelType w:val="multilevel"/>
    <w:tmpl w:val="DD193321"/>
    <w:lvl w:ilvl="0" w:tentative="0">
      <w:start w:val="1"/>
      <w:numFmt w:val="chineseCountingThousand"/>
      <w:lvlText w:val="第%1节"/>
      <w:lvlJc w:val="left"/>
      <w:pPr>
        <w:ind w:left="907" w:hanging="340"/>
      </w:pPr>
      <w:rPr>
        <w:rFonts w:hint="default"/>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E58E1175"/>
    <w:multiLevelType w:val="multilevel"/>
    <w:tmpl w:val="E58E1175"/>
    <w:lvl w:ilvl="0" w:tentative="0">
      <w:start w:val="1"/>
      <w:numFmt w:val="chineseCountingThousand"/>
      <w:lvlText w:val="第%1节"/>
      <w:lvlJc w:val="left"/>
      <w:pPr>
        <w:ind w:left="907" w:hanging="340"/>
      </w:pPr>
      <w:rPr>
        <w:rFonts w:hint="eastAsia"/>
        <w:color w:val="auto"/>
        <w:highlight w:val="none"/>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6">
    <w:nsid w:val="19BC2835"/>
    <w:multiLevelType w:val="multilevel"/>
    <w:tmpl w:val="19BC2835"/>
    <w:lvl w:ilvl="0" w:tentative="0">
      <w:start w:val="1"/>
      <w:numFmt w:val="chineseCountingThousand"/>
      <w:lvlText w:val="第%1节"/>
      <w:lvlJc w:val="left"/>
      <w:pPr>
        <w:ind w:left="907" w:hanging="340"/>
      </w:pPr>
      <w:rPr>
        <w:rFonts w:hint="default"/>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7">
    <w:nsid w:val="1F582294"/>
    <w:multiLevelType w:val="multilevel"/>
    <w:tmpl w:val="1F582294"/>
    <w:lvl w:ilvl="0" w:tentative="0">
      <w:start w:val="1"/>
      <w:numFmt w:val="chineseCountingThousand"/>
      <w:lvlText w:val="第%1节"/>
      <w:lvlJc w:val="left"/>
      <w:pPr>
        <w:ind w:left="907" w:hanging="340"/>
      </w:pPr>
      <w:rPr>
        <w:rFonts w:hint="default"/>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8">
    <w:nsid w:val="2DDE6AA3"/>
    <w:multiLevelType w:val="multilevel"/>
    <w:tmpl w:val="2DDE6AA3"/>
    <w:lvl w:ilvl="0" w:tentative="0">
      <w:start w:val="1"/>
      <w:numFmt w:val="chineseCountingThousand"/>
      <w:lvlText w:val="第%1节"/>
      <w:lvlJc w:val="left"/>
      <w:pPr>
        <w:ind w:left="907" w:hanging="340"/>
      </w:pPr>
      <w:rPr>
        <w:rFonts w:hint="default"/>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9">
    <w:nsid w:val="3A70DBCF"/>
    <w:multiLevelType w:val="multilevel"/>
    <w:tmpl w:val="3A70DBCF"/>
    <w:lvl w:ilvl="0" w:tentative="0">
      <w:start w:val="1"/>
      <w:numFmt w:val="chineseCountingThousand"/>
      <w:lvlText w:val="第%1节"/>
      <w:lvlJc w:val="left"/>
      <w:pPr>
        <w:ind w:left="907" w:hanging="340"/>
      </w:pPr>
      <w:rPr>
        <w:rFonts w:hint="default"/>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0">
    <w:nsid w:val="49DE29F2"/>
    <w:multiLevelType w:val="multilevel"/>
    <w:tmpl w:val="49DE29F2"/>
    <w:lvl w:ilvl="0" w:tentative="0">
      <w:start w:val="1"/>
      <w:numFmt w:val="chineseCountingThousand"/>
      <w:lvlText w:val="第%1节"/>
      <w:lvlJc w:val="left"/>
      <w:pPr>
        <w:ind w:left="907" w:hanging="340"/>
      </w:pPr>
      <w:rPr>
        <w:rFonts w:hint="default"/>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1">
    <w:nsid w:val="4A0E68C1"/>
    <w:multiLevelType w:val="multilevel"/>
    <w:tmpl w:val="4A0E68C1"/>
    <w:lvl w:ilvl="0" w:tentative="0">
      <w:start w:val="1"/>
      <w:numFmt w:val="chineseCountingThousand"/>
      <w:lvlText w:val="第%1节"/>
      <w:lvlJc w:val="left"/>
      <w:pPr>
        <w:ind w:left="907" w:hanging="340"/>
      </w:pPr>
      <w:rPr>
        <w:rFonts w:hint="default"/>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2">
    <w:nsid w:val="6D46758D"/>
    <w:multiLevelType w:val="multilevel"/>
    <w:tmpl w:val="6D46758D"/>
    <w:lvl w:ilvl="0" w:tentative="0">
      <w:start w:val="1"/>
      <w:numFmt w:val="chineseCountingThousand"/>
      <w:pStyle w:val="2"/>
      <w:suff w:val="nothing"/>
      <w:lvlText w:val="第%1章"/>
      <w:lvlJc w:val="left"/>
      <w:pPr>
        <w:ind w:left="710" w:firstLine="0"/>
      </w:pPr>
      <w:rPr>
        <w:rFonts w:hint="eastAsia" w:ascii="黑体" w:hAnsi="黑体" w:eastAsia="黑体" w:cs="黑体"/>
        <w:b/>
        <w:bCs/>
        <w:i w:val="0"/>
        <w:color w:val="auto"/>
        <w:sz w:val="36"/>
        <w:szCs w:val="36"/>
        <w:lang w:val="en-US"/>
      </w:rPr>
    </w:lvl>
    <w:lvl w:ilvl="1" w:tentative="0">
      <w:start w:val="1"/>
      <w:numFmt w:val="none"/>
      <w:pStyle w:val="3"/>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pStyle w:val="6"/>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13">
    <w:nsid w:val="7180D3E5"/>
    <w:multiLevelType w:val="multilevel"/>
    <w:tmpl w:val="7180D3E5"/>
    <w:lvl w:ilvl="0" w:tentative="0">
      <w:start w:val="1"/>
      <w:numFmt w:val="chineseCountingThousand"/>
      <w:lvlText w:val="第%1节"/>
      <w:lvlJc w:val="left"/>
      <w:pPr>
        <w:ind w:left="907" w:hanging="340"/>
      </w:pPr>
      <w:rPr>
        <w:rFonts w:hint="default"/>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10"/>
  </w:num>
  <w:num w:numId="6">
    <w:abstractNumId w:val="7"/>
  </w:num>
  <w:num w:numId="7">
    <w:abstractNumId w:val="2"/>
  </w:num>
  <w:num w:numId="8">
    <w:abstractNumId w:val="6"/>
  </w:num>
  <w:num w:numId="9">
    <w:abstractNumId w:val="11"/>
  </w:num>
  <w:num w:numId="10">
    <w:abstractNumId w:val="4"/>
  </w:num>
  <w:num w:numId="11">
    <w:abstractNumId w:val="9"/>
  </w:num>
  <w:num w:numId="12">
    <w:abstractNumId w:val="13"/>
  </w:num>
  <w:num w:numId="13">
    <w:abstractNumId w:val="3"/>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4YjMwOTBmZWU0NWU2NTQ0Y2ZmZWEyZmZiYzhiNjAifQ=="/>
    <w:docVar w:name="KSO_WPS_MARK_KEY" w:val="74f623aa-448c-4ba4-9c6c-8588e806bdcd"/>
  </w:docVars>
  <w:rsids>
    <w:rsidRoot w:val="007320A8"/>
    <w:rsid w:val="00001C2E"/>
    <w:rsid w:val="00002A6E"/>
    <w:rsid w:val="00003183"/>
    <w:rsid w:val="000053AF"/>
    <w:rsid w:val="000055C3"/>
    <w:rsid w:val="00007C75"/>
    <w:rsid w:val="00016235"/>
    <w:rsid w:val="00017E54"/>
    <w:rsid w:val="000205B2"/>
    <w:rsid w:val="000360C5"/>
    <w:rsid w:val="00043579"/>
    <w:rsid w:val="00043A62"/>
    <w:rsid w:val="000443EA"/>
    <w:rsid w:val="00046539"/>
    <w:rsid w:val="0004664F"/>
    <w:rsid w:val="00047167"/>
    <w:rsid w:val="0005227A"/>
    <w:rsid w:val="0005334C"/>
    <w:rsid w:val="00053D82"/>
    <w:rsid w:val="0005578C"/>
    <w:rsid w:val="000563A7"/>
    <w:rsid w:val="00062B3C"/>
    <w:rsid w:val="00063849"/>
    <w:rsid w:val="0006422F"/>
    <w:rsid w:val="00066FB0"/>
    <w:rsid w:val="000705D7"/>
    <w:rsid w:val="00072E0C"/>
    <w:rsid w:val="000748F3"/>
    <w:rsid w:val="00076D60"/>
    <w:rsid w:val="00077C0D"/>
    <w:rsid w:val="00087A27"/>
    <w:rsid w:val="00090540"/>
    <w:rsid w:val="00095D25"/>
    <w:rsid w:val="00097196"/>
    <w:rsid w:val="00097365"/>
    <w:rsid w:val="000A1046"/>
    <w:rsid w:val="000A373D"/>
    <w:rsid w:val="000C024B"/>
    <w:rsid w:val="000C0435"/>
    <w:rsid w:val="000C4B58"/>
    <w:rsid w:val="000C71CF"/>
    <w:rsid w:val="000D1284"/>
    <w:rsid w:val="000D1962"/>
    <w:rsid w:val="000D3B67"/>
    <w:rsid w:val="000D3EFF"/>
    <w:rsid w:val="000D4FEA"/>
    <w:rsid w:val="000D5632"/>
    <w:rsid w:val="000D5FAD"/>
    <w:rsid w:val="000D7947"/>
    <w:rsid w:val="000E1CBA"/>
    <w:rsid w:val="000E320A"/>
    <w:rsid w:val="000E7841"/>
    <w:rsid w:val="000E7EFD"/>
    <w:rsid w:val="000F359B"/>
    <w:rsid w:val="000F3CBD"/>
    <w:rsid w:val="000F5063"/>
    <w:rsid w:val="000F5741"/>
    <w:rsid w:val="0010732F"/>
    <w:rsid w:val="00111E78"/>
    <w:rsid w:val="00111FA8"/>
    <w:rsid w:val="00113738"/>
    <w:rsid w:val="001142CE"/>
    <w:rsid w:val="00114512"/>
    <w:rsid w:val="00115508"/>
    <w:rsid w:val="0011676F"/>
    <w:rsid w:val="00116817"/>
    <w:rsid w:val="00120B06"/>
    <w:rsid w:val="00122B87"/>
    <w:rsid w:val="00123875"/>
    <w:rsid w:val="00124DE8"/>
    <w:rsid w:val="00127961"/>
    <w:rsid w:val="001322B4"/>
    <w:rsid w:val="001334BF"/>
    <w:rsid w:val="001340C9"/>
    <w:rsid w:val="00136A74"/>
    <w:rsid w:val="00141D6D"/>
    <w:rsid w:val="00142BA6"/>
    <w:rsid w:val="00145496"/>
    <w:rsid w:val="0015278F"/>
    <w:rsid w:val="00155A8B"/>
    <w:rsid w:val="00166780"/>
    <w:rsid w:val="00166E85"/>
    <w:rsid w:val="0016735B"/>
    <w:rsid w:val="001717E5"/>
    <w:rsid w:val="0017181A"/>
    <w:rsid w:val="001745B7"/>
    <w:rsid w:val="0017598D"/>
    <w:rsid w:val="001764B8"/>
    <w:rsid w:val="0017669C"/>
    <w:rsid w:val="00176E4A"/>
    <w:rsid w:val="00181178"/>
    <w:rsid w:val="00181624"/>
    <w:rsid w:val="001848D7"/>
    <w:rsid w:val="00185296"/>
    <w:rsid w:val="0019000E"/>
    <w:rsid w:val="001912FE"/>
    <w:rsid w:val="00193B79"/>
    <w:rsid w:val="001A162C"/>
    <w:rsid w:val="001A4955"/>
    <w:rsid w:val="001A50F2"/>
    <w:rsid w:val="001A7E0E"/>
    <w:rsid w:val="001B5E0D"/>
    <w:rsid w:val="001B762E"/>
    <w:rsid w:val="001B763C"/>
    <w:rsid w:val="001C334C"/>
    <w:rsid w:val="001D0A86"/>
    <w:rsid w:val="001D25D9"/>
    <w:rsid w:val="001D2B86"/>
    <w:rsid w:val="001D756D"/>
    <w:rsid w:val="001E0D10"/>
    <w:rsid w:val="001E0F4C"/>
    <w:rsid w:val="001E309D"/>
    <w:rsid w:val="001E3154"/>
    <w:rsid w:val="001E6614"/>
    <w:rsid w:val="001E69FC"/>
    <w:rsid w:val="001E7805"/>
    <w:rsid w:val="001F1E11"/>
    <w:rsid w:val="00202270"/>
    <w:rsid w:val="00202754"/>
    <w:rsid w:val="00202ED3"/>
    <w:rsid w:val="00203BF5"/>
    <w:rsid w:val="00220D56"/>
    <w:rsid w:val="00221453"/>
    <w:rsid w:val="002223A4"/>
    <w:rsid w:val="00223CE8"/>
    <w:rsid w:val="00230322"/>
    <w:rsid w:val="002306F8"/>
    <w:rsid w:val="002308D3"/>
    <w:rsid w:val="0023091C"/>
    <w:rsid w:val="00230FCF"/>
    <w:rsid w:val="002331A5"/>
    <w:rsid w:val="00237C53"/>
    <w:rsid w:val="002403BC"/>
    <w:rsid w:val="00240B98"/>
    <w:rsid w:val="002424F2"/>
    <w:rsid w:val="0024259C"/>
    <w:rsid w:val="002468A0"/>
    <w:rsid w:val="002469D8"/>
    <w:rsid w:val="0025190D"/>
    <w:rsid w:val="00251BAA"/>
    <w:rsid w:val="0025462C"/>
    <w:rsid w:val="00254976"/>
    <w:rsid w:val="002553B3"/>
    <w:rsid w:val="00257272"/>
    <w:rsid w:val="002627C9"/>
    <w:rsid w:val="002657EA"/>
    <w:rsid w:val="002657FA"/>
    <w:rsid w:val="0026656D"/>
    <w:rsid w:val="002749E2"/>
    <w:rsid w:val="00275420"/>
    <w:rsid w:val="00276209"/>
    <w:rsid w:val="00281334"/>
    <w:rsid w:val="002816C4"/>
    <w:rsid w:val="002835E7"/>
    <w:rsid w:val="00292F26"/>
    <w:rsid w:val="002A4CCD"/>
    <w:rsid w:val="002A531E"/>
    <w:rsid w:val="002B4D8F"/>
    <w:rsid w:val="002B5E44"/>
    <w:rsid w:val="002C07A6"/>
    <w:rsid w:val="002C1B9C"/>
    <w:rsid w:val="002C38B9"/>
    <w:rsid w:val="002C4CD9"/>
    <w:rsid w:val="002C5169"/>
    <w:rsid w:val="002C672B"/>
    <w:rsid w:val="002C7178"/>
    <w:rsid w:val="002D002D"/>
    <w:rsid w:val="002D052B"/>
    <w:rsid w:val="002D0544"/>
    <w:rsid w:val="002D0956"/>
    <w:rsid w:val="002D261A"/>
    <w:rsid w:val="002D4CBB"/>
    <w:rsid w:val="002E70F1"/>
    <w:rsid w:val="002F20E7"/>
    <w:rsid w:val="002F4283"/>
    <w:rsid w:val="002F5ADA"/>
    <w:rsid w:val="002F619A"/>
    <w:rsid w:val="002F6EBF"/>
    <w:rsid w:val="00303583"/>
    <w:rsid w:val="0030506F"/>
    <w:rsid w:val="00307982"/>
    <w:rsid w:val="00315963"/>
    <w:rsid w:val="003161A2"/>
    <w:rsid w:val="003175DC"/>
    <w:rsid w:val="0032026C"/>
    <w:rsid w:val="00330ECA"/>
    <w:rsid w:val="003320A1"/>
    <w:rsid w:val="00333E08"/>
    <w:rsid w:val="00342CAD"/>
    <w:rsid w:val="0034457A"/>
    <w:rsid w:val="00350010"/>
    <w:rsid w:val="003512E1"/>
    <w:rsid w:val="0035163F"/>
    <w:rsid w:val="0035288E"/>
    <w:rsid w:val="0035401B"/>
    <w:rsid w:val="00354713"/>
    <w:rsid w:val="00360777"/>
    <w:rsid w:val="00361BD0"/>
    <w:rsid w:val="0036454A"/>
    <w:rsid w:val="003716D1"/>
    <w:rsid w:val="003751BD"/>
    <w:rsid w:val="003753B4"/>
    <w:rsid w:val="003778D4"/>
    <w:rsid w:val="00383F6C"/>
    <w:rsid w:val="003845BD"/>
    <w:rsid w:val="003928FF"/>
    <w:rsid w:val="00393CA3"/>
    <w:rsid w:val="00395F8C"/>
    <w:rsid w:val="003A1D0A"/>
    <w:rsid w:val="003A27DA"/>
    <w:rsid w:val="003A3D69"/>
    <w:rsid w:val="003A445B"/>
    <w:rsid w:val="003A5BA3"/>
    <w:rsid w:val="003B38D8"/>
    <w:rsid w:val="003B5D7B"/>
    <w:rsid w:val="003C1147"/>
    <w:rsid w:val="003C519D"/>
    <w:rsid w:val="003C778C"/>
    <w:rsid w:val="003D056C"/>
    <w:rsid w:val="003D1673"/>
    <w:rsid w:val="003D228A"/>
    <w:rsid w:val="003D5AED"/>
    <w:rsid w:val="003E247F"/>
    <w:rsid w:val="003E4DEF"/>
    <w:rsid w:val="003F2B2D"/>
    <w:rsid w:val="003F3696"/>
    <w:rsid w:val="00402988"/>
    <w:rsid w:val="00402D02"/>
    <w:rsid w:val="00404236"/>
    <w:rsid w:val="004126F4"/>
    <w:rsid w:val="0041298D"/>
    <w:rsid w:val="00412CAF"/>
    <w:rsid w:val="0041603E"/>
    <w:rsid w:val="00422A4D"/>
    <w:rsid w:val="004236D5"/>
    <w:rsid w:val="00431002"/>
    <w:rsid w:val="004343C3"/>
    <w:rsid w:val="00435BC5"/>
    <w:rsid w:val="0043626D"/>
    <w:rsid w:val="0044766F"/>
    <w:rsid w:val="0044787D"/>
    <w:rsid w:val="0045013F"/>
    <w:rsid w:val="00454298"/>
    <w:rsid w:val="00457455"/>
    <w:rsid w:val="0046256D"/>
    <w:rsid w:val="00465711"/>
    <w:rsid w:val="004701F1"/>
    <w:rsid w:val="00476661"/>
    <w:rsid w:val="004817A6"/>
    <w:rsid w:val="00486103"/>
    <w:rsid w:val="0049253B"/>
    <w:rsid w:val="00492C9C"/>
    <w:rsid w:val="00494150"/>
    <w:rsid w:val="004A0016"/>
    <w:rsid w:val="004A00E8"/>
    <w:rsid w:val="004A26D7"/>
    <w:rsid w:val="004A3639"/>
    <w:rsid w:val="004B11F1"/>
    <w:rsid w:val="004B16BD"/>
    <w:rsid w:val="004B3E68"/>
    <w:rsid w:val="004B5457"/>
    <w:rsid w:val="004B5DFA"/>
    <w:rsid w:val="004C3FB8"/>
    <w:rsid w:val="004D21E8"/>
    <w:rsid w:val="004D36B3"/>
    <w:rsid w:val="004D712B"/>
    <w:rsid w:val="004E01B6"/>
    <w:rsid w:val="004E0FBD"/>
    <w:rsid w:val="004E20B5"/>
    <w:rsid w:val="004E2644"/>
    <w:rsid w:val="004E2910"/>
    <w:rsid w:val="004E30F9"/>
    <w:rsid w:val="004E3119"/>
    <w:rsid w:val="004E4AA0"/>
    <w:rsid w:val="004F0E57"/>
    <w:rsid w:val="004F3960"/>
    <w:rsid w:val="004F4745"/>
    <w:rsid w:val="004F7753"/>
    <w:rsid w:val="004F792D"/>
    <w:rsid w:val="0050066B"/>
    <w:rsid w:val="005008EA"/>
    <w:rsid w:val="00501290"/>
    <w:rsid w:val="00505FF7"/>
    <w:rsid w:val="00510C09"/>
    <w:rsid w:val="00510FD9"/>
    <w:rsid w:val="005210A3"/>
    <w:rsid w:val="00524036"/>
    <w:rsid w:val="00524EA1"/>
    <w:rsid w:val="00531A62"/>
    <w:rsid w:val="00537457"/>
    <w:rsid w:val="00537F75"/>
    <w:rsid w:val="0054011A"/>
    <w:rsid w:val="005454F5"/>
    <w:rsid w:val="00550EDB"/>
    <w:rsid w:val="00556371"/>
    <w:rsid w:val="00561996"/>
    <w:rsid w:val="0056506C"/>
    <w:rsid w:val="0057039D"/>
    <w:rsid w:val="005717F8"/>
    <w:rsid w:val="00571999"/>
    <w:rsid w:val="00576196"/>
    <w:rsid w:val="00576DB6"/>
    <w:rsid w:val="00582045"/>
    <w:rsid w:val="00583590"/>
    <w:rsid w:val="0058446D"/>
    <w:rsid w:val="00587DBB"/>
    <w:rsid w:val="0059547A"/>
    <w:rsid w:val="00596F0A"/>
    <w:rsid w:val="005A577B"/>
    <w:rsid w:val="005A6F37"/>
    <w:rsid w:val="005A792D"/>
    <w:rsid w:val="005A7A88"/>
    <w:rsid w:val="005B2F93"/>
    <w:rsid w:val="005B332C"/>
    <w:rsid w:val="005B3899"/>
    <w:rsid w:val="005B7907"/>
    <w:rsid w:val="005C008E"/>
    <w:rsid w:val="005C3A4B"/>
    <w:rsid w:val="005D590A"/>
    <w:rsid w:val="005D64F0"/>
    <w:rsid w:val="005E716B"/>
    <w:rsid w:val="005F0966"/>
    <w:rsid w:val="005F2386"/>
    <w:rsid w:val="005F4830"/>
    <w:rsid w:val="005F4D3E"/>
    <w:rsid w:val="005F7753"/>
    <w:rsid w:val="005F7E1F"/>
    <w:rsid w:val="00600F09"/>
    <w:rsid w:val="00604B17"/>
    <w:rsid w:val="00607225"/>
    <w:rsid w:val="00614C95"/>
    <w:rsid w:val="0061753D"/>
    <w:rsid w:val="00617EFE"/>
    <w:rsid w:val="00621B89"/>
    <w:rsid w:val="00624C9C"/>
    <w:rsid w:val="00624D10"/>
    <w:rsid w:val="0062614D"/>
    <w:rsid w:val="0062778E"/>
    <w:rsid w:val="0063014D"/>
    <w:rsid w:val="006338A9"/>
    <w:rsid w:val="006376EC"/>
    <w:rsid w:val="0064460F"/>
    <w:rsid w:val="00644909"/>
    <w:rsid w:val="00655EA0"/>
    <w:rsid w:val="00656618"/>
    <w:rsid w:val="0066124D"/>
    <w:rsid w:val="00661307"/>
    <w:rsid w:val="00665BEC"/>
    <w:rsid w:val="006675E6"/>
    <w:rsid w:val="006677FF"/>
    <w:rsid w:val="00667A2B"/>
    <w:rsid w:val="00670A82"/>
    <w:rsid w:val="00671850"/>
    <w:rsid w:val="00671AFF"/>
    <w:rsid w:val="00673AEA"/>
    <w:rsid w:val="006756FA"/>
    <w:rsid w:val="006761E4"/>
    <w:rsid w:val="0068095A"/>
    <w:rsid w:val="006860A9"/>
    <w:rsid w:val="00687DBD"/>
    <w:rsid w:val="00692F43"/>
    <w:rsid w:val="006948C4"/>
    <w:rsid w:val="006A0465"/>
    <w:rsid w:val="006A297A"/>
    <w:rsid w:val="006A2F7B"/>
    <w:rsid w:val="006A4689"/>
    <w:rsid w:val="006A4F6E"/>
    <w:rsid w:val="006A5F65"/>
    <w:rsid w:val="006B4556"/>
    <w:rsid w:val="006B4BC9"/>
    <w:rsid w:val="006B4D68"/>
    <w:rsid w:val="006C17C3"/>
    <w:rsid w:val="006C3BC7"/>
    <w:rsid w:val="006C61EB"/>
    <w:rsid w:val="006C76CE"/>
    <w:rsid w:val="006D274F"/>
    <w:rsid w:val="006D4607"/>
    <w:rsid w:val="006D5450"/>
    <w:rsid w:val="006D5BD3"/>
    <w:rsid w:val="006E4CAE"/>
    <w:rsid w:val="006E6B27"/>
    <w:rsid w:val="006F0BD7"/>
    <w:rsid w:val="006F2EDE"/>
    <w:rsid w:val="006F4A80"/>
    <w:rsid w:val="006F4BBC"/>
    <w:rsid w:val="006F6BE3"/>
    <w:rsid w:val="007007BE"/>
    <w:rsid w:val="00700EB0"/>
    <w:rsid w:val="0070607C"/>
    <w:rsid w:val="00706FC8"/>
    <w:rsid w:val="00710254"/>
    <w:rsid w:val="0071634E"/>
    <w:rsid w:val="00716B03"/>
    <w:rsid w:val="00720039"/>
    <w:rsid w:val="00720FE8"/>
    <w:rsid w:val="00721142"/>
    <w:rsid w:val="007231FE"/>
    <w:rsid w:val="0072436C"/>
    <w:rsid w:val="00725286"/>
    <w:rsid w:val="007254E3"/>
    <w:rsid w:val="00727726"/>
    <w:rsid w:val="00730346"/>
    <w:rsid w:val="007312DE"/>
    <w:rsid w:val="007320A8"/>
    <w:rsid w:val="007336DC"/>
    <w:rsid w:val="007370B0"/>
    <w:rsid w:val="00746093"/>
    <w:rsid w:val="007532D8"/>
    <w:rsid w:val="00753EB7"/>
    <w:rsid w:val="007544BD"/>
    <w:rsid w:val="00761A31"/>
    <w:rsid w:val="007622C0"/>
    <w:rsid w:val="00763203"/>
    <w:rsid w:val="007642FC"/>
    <w:rsid w:val="00770A27"/>
    <w:rsid w:val="00771A06"/>
    <w:rsid w:val="00771F4D"/>
    <w:rsid w:val="00772753"/>
    <w:rsid w:val="007742D9"/>
    <w:rsid w:val="00775E85"/>
    <w:rsid w:val="00787C6E"/>
    <w:rsid w:val="00791DA3"/>
    <w:rsid w:val="00793C41"/>
    <w:rsid w:val="00795BF6"/>
    <w:rsid w:val="007A07C0"/>
    <w:rsid w:val="007A5B1D"/>
    <w:rsid w:val="007A5DFB"/>
    <w:rsid w:val="007B1377"/>
    <w:rsid w:val="007B29FA"/>
    <w:rsid w:val="007C1D23"/>
    <w:rsid w:val="007C2EDB"/>
    <w:rsid w:val="007D197D"/>
    <w:rsid w:val="007D4358"/>
    <w:rsid w:val="007D442C"/>
    <w:rsid w:val="007D625E"/>
    <w:rsid w:val="007D712E"/>
    <w:rsid w:val="007E0044"/>
    <w:rsid w:val="007E334D"/>
    <w:rsid w:val="007F1A77"/>
    <w:rsid w:val="007F2097"/>
    <w:rsid w:val="007F3FCC"/>
    <w:rsid w:val="007F4D47"/>
    <w:rsid w:val="007F56C8"/>
    <w:rsid w:val="007F682C"/>
    <w:rsid w:val="00803117"/>
    <w:rsid w:val="00803AD4"/>
    <w:rsid w:val="00804C21"/>
    <w:rsid w:val="008056BB"/>
    <w:rsid w:val="008105AA"/>
    <w:rsid w:val="00816409"/>
    <w:rsid w:val="00817DDB"/>
    <w:rsid w:val="0082118B"/>
    <w:rsid w:val="008231EA"/>
    <w:rsid w:val="00833973"/>
    <w:rsid w:val="00834684"/>
    <w:rsid w:val="00837AA7"/>
    <w:rsid w:val="008400BB"/>
    <w:rsid w:val="008405EC"/>
    <w:rsid w:val="008441EF"/>
    <w:rsid w:val="00844969"/>
    <w:rsid w:val="00846293"/>
    <w:rsid w:val="008466DA"/>
    <w:rsid w:val="008578BA"/>
    <w:rsid w:val="00890036"/>
    <w:rsid w:val="0089013D"/>
    <w:rsid w:val="0089377B"/>
    <w:rsid w:val="0089389D"/>
    <w:rsid w:val="00896540"/>
    <w:rsid w:val="00897B15"/>
    <w:rsid w:val="00897F25"/>
    <w:rsid w:val="008A1CC6"/>
    <w:rsid w:val="008A1FB6"/>
    <w:rsid w:val="008A43E9"/>
    <w:rsid w:val="008A63EC"/>
    <w:rsid w:val="008B2A04"/>
    <w:rsid w:val="008B65E1"/>
    <w:rsid w:val="008C1ACC"/>
    <w:rsid w:val="008C1EC3"/>
    <w:rsid w:val="008D0EB1"/>
    <w:rsid w:val="008D340B"/>
    <w:rsid w:val="008D5EA8"/>
    <w:rsid w:val="008D6A79"/>
    <w:rsid w:val="008E06BB"/>
    <w:rsid w:val="008E314F"/>
    <w:rsid w:val="008E32E5"/>
    <w:rsid w:val="008E3D17"/>
    <w:rsid w:val="008E5F8A"/>
    <w:rsid w:val="008E6D86"/>
    <w:rsid w:val="008E6F26"/>
    <w:rsid w:val="008E7763"/>
    <w:rsid w:val="008E7803"/>
    <w:rsid w:val="00905C90"/>
    <w:rsid w:val="009077DC"/>
    <w:rsid w:val="0090798F"/>
    <w:rsid w:val="009107E9"/>
    <w:rsid w:val="009118B3"/>
    <w:rsid w:val="00912B43"/>
    <w:rsid w:val="00921875"/>
    <w:rsid w:val="00922B2D"/>
    <w:rsid w:val="00925E76"/>
    <w:rsid w:val="00940F54"/>
    <w:rsid w:val="009418F3"/>
    <w:rsid w:val="00941969"/>
    <w:rsid w:val="00944539"/>
    <w:rsid w:val="0094602E"/>
    <w:rsid w:val="00947FAD"/>
    <w:rsid w:val="009508E1"/>
    <w:rsid w:val="00954093"/>
    <w:rsid w:val="009567BF"/>
    <w:rsid w:val="0096326F"/>
    <w:rsid w:val="009650EC"/>
    <w:rsid w:val="0096634C"/>
    <w:rsid w:val="0097721E"/>
    <w:rsid w:val="009774EC"/>
    <w:rsid w:val="0098426C"/>
    <w:rsid w:val="00987C31"/>
    <w:rsid w:val="0099255F"/>
    <w:rsid w:val="00995448"/>
    <w:rsid w:val="009A17A4"/>
    <w:rsid w:val="009A2E1A"/>
    <w:rsid w:val="009B0AD5"/>
    <w:rsid w:val="009B135F"/>
    <w:rsid w:val="009B3898"/>
    <w:rsid w:val="009C1866"/>
    <w:rsid w:val="009C1E64"/>
    <w:rsid w:val="009C497F"/>
    <w:rsid w:val="009C556D"/>
    <w:rsid w:val="009D1A83"/>
    <w:rsid w:val="009D1CD1"/>
    <w:rsid w:val="009D248F"/>
    <w:rsid w:val="009D4EF1"/>
    <w:rsid w:val="009D6EC5"/>
    <w:rsid w:val="009E216B"/>
    <w:rsid w:val="009E3183"/>
    <w:rsid w:val="009E6AA5"/>
    <w:rsid w:val="009E7493"/>
    <w:rsid w:val="009F1D17"/>
    <w:rsid w:val="009F4E3B"/>
    <w:rsid w:val="009F7CD1"/>
    <w:rsid w:val="009F7E14"/>
    <w:rsid w:val="00A00313"/>
    <w:rsid w:val="00A051AF"/>
    <w:rsid w:val="00A0687C"/>
    <w:rsid w:val="00A06FB8"/>
    <w:rsid w:val="00A0746E"/>
    <w:rsid w:val="00A133B0"/>
    <w:rsid w:val="00A13EEF"/>
    <w:rsid w:val="00A14552"/>
    <w:rsid w:val="00A2144C"/>
    <w:rsid w:val="00A31388"/>
    <w:rsid w:val="00A3357C"/>
    <w:rsid w:val="00A35384"/>
    <w:rsid w:val="00A356E1"/>
    <w:rsid w:val="00A414D3"/>
    <w:rsid w:val="00A4568B"/>
    <w:rsid w:val="00A4579C"/>
    <w:rsid w:val="00A468DE"/>
    <w:rsid w:val="00A52B0F"/>
    <w:rsid w:val="00A6187B"/>
    <w:rsid w:val="00A66395"/>
    <w:rsid w:val="00A66DF0"/>
    <w:rsid w:val="00A701AD"/>
    <w:rsid w:val="00A7262C"/>
    <w:rsid w:val="00A800BE"/>
    <w:rsid w:val="00A800F2"/>
    <w:rsid w:val="00A8499D"/>
    <w:rsid w:val="00A87968"/>
    <w:rsid w:val="00A932A3"/>
    <w:rsid w:val="00AA1B86"/>
    <w:rsid w:val="00AA1D78"/>
    <w:rsid w:val="00AA2459"/>
    <w:rsid w:val="00AA72C6"/>
    <w:rsid w:val="00AB0FBE"/>
    <w:rsid w:val="00AB2811"/>
    <w:rsid w:val="00AC0718"/>
    <w:rsid w:val="00AC2480"/>
    <w:rsid w:val="00AC3D3D"/>
    <w:rsid w:val="00AC46B8"/>
    <w:rsid w:val="00AC48FB"/>
    <w:rsid w:val="00AD4163"/>
    <w:rsid w:val="00AD597D"/>
    <w:rsid w:val="00AE2A58"/>
    <w:rsid w:val="00AE2E40"/>
    <w:rsid w:val="00AE3092"/>
    <w:rsid w:val="00AF49E8"/>
    <w:rsid w:val="00AF579C"/>
    <w:rsid w:val="00AF709C"/>
    <w:rsid w:val="00B00849"/>
    <w:rsid w:val="00B01B18"/>
    <w:rsid w:val="00B02D96"/>
    <w:rsid w:val="00B02F10"/>
    <w:rsid w:val="00B06787"/>
    <w:rsid w:val="00B07992"/>
    <w:rsid w:val="00B10869"/>
    <w:rsid w:val="00B131F5"/>
    <w:rsid w:val="00B17CA5"/>
    <w:rsid w:val="00B2437C"/>
    <w:rsid w:val="00B254EE"/>
    <w:rsid w:val="00B25519"/>
    <w:rsid w:val="00B27180"/>
    <w:rsid w:val="00B3421B"/>
    <w:rsid w:val="00B36EF7"/>
    <w:rsid w:val="00B42CE6"/>
    <w:rsid w:val="00B51F9E"/>
    <w:rsid w:val="00B52A86"/>
    <w:rsid w:val="00B53955"/>
    <w:rsid w:val="00B56738"/>
    <w:rsid w:val="00B61E0F"/>
    <w:rsid w:val="00B66727"/>
    <w:rsid w:val="00B77D41"/>
    <w:rsid w:val="00B77FC4"/>
    <w:rsid w:val="00B8322E"/>
    <w:rsid w:val="00B87E95"/>
    <w:rsid w:val="00B9048B"/>
    <w:rsid w:val="00B90920"/>
    <w:rsid w:val="00B90BA6"/>
    <w:rsid w:val="00B9726F"/>
    <w:rsid w:val="00B97A85"/>
    <w:rsid w:val="00BA4522"/>
    <w:rsid w:val="00BA7508"/>
    <w:rsid w:val="00BA7B40"/>
    <w:rsid w:val="00BB1DED"/>
    <w:rsid w:val="00BB21F8"/>
    <w:rsid w:val="00BC2568"/>
    <w:rsid w:val="00BC2575"/>
    <w:rsid w:val="00BC3595"/>
    <w:rsid w:val="00BC44C8"/>
    <w:rsid w:val="00BC4F39"/>
    <w:rsid w:val="00BC5BEE"/>
    <w:rsid w:val="00BD0AFA"/>
    <w:rsid w:val="00BD469A"/>
    <w:rsid w:val="00BE22D8"/>
    <w:rsid w:val="00BE3756"/>
    <w:rsid w:val="00BE4258"/>
    <w:rsid w:val="00BE4610"/>
    <w:rsid w:val="00BE6A29"/>
    <w:rsid w:val="00BE70A9"/>
    <w:rsid w:val="00BF5469"/>
    <w:rsid w:val="00BF55D9"/>
    <w:rsid w:val="00BF738B"/>
    <w:rsid w:val="00C02312"/>
    <w:rsid w:val="00C11735"/>
    <w:rsid w:val="00C12533"/>
    <w:rsid w:val="00C1570C"/>
    <w:rsid w:val="00C204F6"/>
    <w:rsid w:val="00C218F9"/>
    <w:rsid w:val="00C236B1"/>
    <w:rsid w:val="00C23763"/>
    <w:rsid w:val="00C25B2D"/>
    <w:rsid w:val="00C270BD"/>
    <w:rsid w:val="00C27342"/>
    <w:rsid w:val="00C302F4"/>
    <w:rsid w:val="00C34DC4"/>
    <w:rsid w:val="00C40143"/>
    <w:rsid w:val="00C45653"/>
    <w:rsid w:val="00C5155B"/>
    <w:rsid w:val="00C55D51"/>
    <w:rsid w:val="00C573DC"/>
    <w:rsid w:val="00C60478"/>
    <w:rsid w:val="00C62538"/>
    <w:rsid w:val="00C635A9"/>
    <w:rsid w:val="00C67E92"/>
    <w:rsid w:val="00C768A4"/>
    <w:rsid w:val="00C8069B"/>
    <w:rsid w:val="00C81764"/>
    <w:rsid w:val="00C854BD"/>
    <w:rsid w:val="00C85F50"/>
    <w:rsid w:val="00C872C6"/>
    <w:rsid w:val="00C91F56"/>
    <w:rsid w:val="00CA01FE"/>
    <w:rsid w:val="00CA1B16"/>
    <w:rsid w:val="00CA1CDB"/>
    <w:rsid w:val="00CA21D4"/>
    <w:rsid w:val="00CA40FC"/>
    <w:rsid w:val="00CA5508"/>
    <w:rsid w:val="00CA6003"/>
    <w:rsid w:val="00CA7672"/>
    <w:rsid w:val="00CB2381"/>
    <w:rsid w:val="00CB2EA2"/>
    <w:rsid w:val="00CB3265"/>
    <w:rsid w:val="00CB671B"/>
    <w:rsid w:val="00CD5B37"/>
    <w:rsid w:val="00CE4599"/>
    <w:rsid w:val="00CE4DD9"/>
    <w:rsid w:val="00CF0EEB"/>
    <w:rsid w:val="00D00592"/>
    <w:rsid w:val="00D005F0"/>
    <w:rsid w:val="00D02771"/>
    <w:rsid w:val="00D055AC"/>
    <w:rsid w:val="00D10562"/>
    <w:rsid w:val="00D14B78"/>
    <w:rsid w:val="00D15322"/>
    <w:rsid w:val="00D17409"/>
    <w:rsid w:val="00D22012"/>
    <w:rsid w:val="00D34090"/>
    <w:rsid w:val="00D35502"/>
    <w:rsid w:val="00D36052"/>
    <w:rsid w:val="00D41EE4"/>
    <w:rsid w:val="00D479BD"/>
    <w:rsid w:val="00D506CF"/>
    <w:rsid w:val="00D5320A"/>
    <w:rsid w:val="00D53D16"/>
    <w:rsid w:val="00D54453"/>
    <w:rsid w:val="00D54AEB"/>
    <w:rsid w:val="00D60CEE"/>
    <w:rsid w:val="00D624F5"/>
    <w:rsid w:val="00D6630E"/>
    <w:rsid w:val="00D66E5E"/>
    <w:rsid w:val="00D73B82"/>
    <w:rsid w:val="00D744B7"/>
    <w:rsid w:val="00D748B7"/>
    <w:rsid w:val="00D74BC5"/>
    <w:rsid w:val="00D81ADE"/>
    <w:rsid w:val="00D846CD"/>
    <w:rsid w:val="00D85C35"/>
    <w:rsid w:val="00D86ACB"/>
    <w:rsid w:val="00D87970"/>
    <w:rsid w:val="00D90068"/>
    <w:rsid w:val="00D92385"/>
    <w:rsid w:val="00D932EB"/>
    <w:rsid w:val="00D95781"/>
    <w:rsid w:val="00D95A15"/>
    <w:rsid w:val="00DA1406"/>
    <w:rsid w:val="00DA2DB9"/>
    <w:rsid w:val="00DA40EC"/>
    <w:rsid w:val="00DB20E1"/>
    <w:rsid w:val="00DB6A66"/>
    <w:rsid w:val="00DB7943"/>
    <w:rsid w:val="00DC1194"/>
    <w:rsid w:val="00DC28F5"/>
    <w:rsid w:val="00DC3AE7"/>
    <w:rsid w:val="00DC6FB6"/>
    <w:rsid w:val="00DD0A36"/>
    <w:rsid w:val="00DD1790"/>
    <w:rsid w:val="00DD2FB4"/>
    <w:rsid w:val="00DD630D"/>
    <w:rsid w:val="00DD6459"/>
    <w:rsid w:val="00DE3CB0"/>
    <w:rsid w:val="00DE4D24"/>
    <w:rsid w:val="00DE7C5A"/>
    <w:rsid w:val="00DE7C7D"/>
    <w:rsid w:val="00DF0D95"/>
    <w:rsid w:val="00DF1678"/>
    <w:rsid w:val="00DF30CD"/>
    <w:rsid w:val="00DF3268"/>
    <w:rsid w:val="00DF35EF"/>
    <w:rsid w:val="00DF4BF6"/>
    <w:rsid w:val="00DF6181"/>
    <w:rsid w:val="00E00F8A"/>
    <w:rsid w:val="00E0160B"/>
    <w:rsid w:val="00E02AD2"/>
    <w:rsid w:val="00E02BA0"/>
    <w:rsid w:val="00E032DB"/>
    <w:rsid w:val="00E0330F"/>
    <w:rsid w:val="00E046AC"/>
    <w:rsid w:val="00E1251F"/>
    <w:rsid w:val="00E13767"/>
    <w:rsid w:val="00E13E38"/>
    <w:rsid w:val="00E1721D"/>
    <w:rsid w:val="00E174C9"/>
    <w:rsid w:val="00E253D2"/>
    <w:rsid w:val="00E4366F"/>
    <w:rsid w:val="00E4444B"/>
    <w:rsid w:val="00E47E48"/>
    <w:rsid w:val="00E536FC"/>
    <w:rsid w:val="00E55650"/>
    <w:rsid w:val="00E573C7"/>
    <w:rsid w:val="00E57984"/>
    <w:rsid w:val="00E605AD"/>
    <w:rsid w:val="00E62790"/>
    <w:rsid w:val="00E664D7"/>
    <w:rsid w:val="00E71D77"/>
    <w:rsid w:val="00E720D7"/>
    <w:rsid w:val="00E722CF"/>
    <w:rsid w:val="00E722EC"/>
    <w:rsid w:val="00E74540"/>
    <w:rsid w:val="00E746A0"/>
    <w:rsid w:val="00E7619D"/>
    <w:rsid w:val="00E76D51"/>
    <w:rsid w:val="00E77B6F"/>
    <w:rsid w:val="00E808DC"/>
    <w:rsid w:val="00E80E62"/>
    <w:rsid w:val="00E8189A"/>
    <w:rsid w:val="00E92992"/>
    <w:rsid w:val="00E9386C"/>
    <w:rsid w:val="00EB060A"/>
    <w:rsid w:val="00EB075E"/>
    <w:rsid w:val="00EB1D1F"/>
    <w:rsid w:val="00EB4467"/>
    <w:rsid w:val="00EB4B06"/>
    <w:rsid w:val="00EB4DD8"/>
    <w:rsid w:val="00EC1817"/>
    <w:rsid w:val="00EC399A"/>
    <w:rsid w:val="00EC4ACA"/>
    <w:rsid w:val="00EC64FF"/>
    <w:rsid w:val="00ED50AC"/>
    <w:rsid w:val="00ED50F3"/>
    <w:rsid w:val="00EE16A9"/>
    <w:rsid w:val="00EE2165"/>
    <w:rsid w:val="00EF3F06"/>
    <w:rsid w:val="00EF3FBC"/>
    <w:rsid w:val="00EF6518"/>
    <w:rsid w:val="00EF6E27"/>
    <w:rsid w:val="00EF7069"/>
    <w:rsid w:val="00EF7134"/>
    <w:rsid w:val="00EF7950"/>
    <w:rsid w:val="00F02EA4"/>
    <w:rsid w:val="00F07122"/>
    <w:rsid w:val="00F114CE"/>
    <w:rsid w:val="00F16629"/>
    <w:rsid w:val="00F171A0"/>
    <w:rsid w:val="00F21317"/>
    <w:rsid w:val="00F213CC"/>
    <w:rsid w:val="00F25686"/>
    <w:rsid w:val="00F25CE6"/>
    <w:rsid w:val="00F26434"/>
    <w:rsid w:val="00F26554"/>
    <w:rsid w:val="00F32E40"/>
    <w:rsid w:val="00F35879"/>
    <w:rsid w:val="00F366E5"/>
    <w:rsid w:val="00F36FD4"/>
    <w:rsid w:val="00F4165E"/>
    <w:rsid w:val="00F45376"/>
    <w:rsid w:val="00F45787"/>
    <w:rsid w:val="00F465EB"/>
    <w:rsid w:val="00F477D0"/>
    <w:rsid w:val="00F50BE6"/>
    <w:rsid w:val="00F52CD4"/>
    <w:rsid w:val="00F53822"/>
    <w:rsid w:val="00F54332"/>
    <w:rsid w:val="00F64B41"/>
    <w:rsid w:val="00F65C18"/>
    <w:rsid w:val="00F67AD5"/>
    <w:rsid w:val="00F719C0"/>
    <w:rsid w:val="00F769E4"/>
    <w:rsid w:val="00F802EA"/>
    <w:rsid w:val="00F847DE"/>
    <w:rsid w:val="00F84C71"/>
    <w:rsid w:val="00F90778"/>
    <w:rsid w:val="00F93D10"/>
    <w:rsid w:val="00F95B3E"/>
    <w:rsid w:val="00FA1471"/>
    <w:rsid w:val="00FA2016"/>
    <w:rsid w:val="00FA2671"/>
    <w:rsid w:val="00FA63E0"/>
    <w:rsid w:val="00FB3A0A"/>
    <w:rsid w:val="00FC0423"/>
    <w:rsid w:val="00FC17C8"/>
    <w:rsid w:val="00FC4373"/>
    <w:rsid w:val="00FD2F13"/>
    <w:rsid w:val="00FD5AB0"/>
    <w:rsid w:val="00FD6E12"/>
    <w:rsid w:val="00FE0B23"/>
    <w:rsid w:val="00FE3BED"/>
    <w:rsid w:val="00FE534A"/>
    <w:rsid w:val="00FF6E8C"/>
    <w:rsid w:val="01095E8F"/>
    <w:rsid w:val="011149CC"/>
    <w:rsid w:val="011709FA"/>
    <w:rsid w:val="012448B0"/>
    <w:rsid w:val="01252CE3"/>
    <w:rsid w:val="012C6AE4"/>
    <w:rsid w:val="01323CE1"/>
    <w:rsid w:val="013917D0"/>
    <w:rsid w:val="01500520"/>
    <w:rsid w:val="016805C8"/>
    <w:rsid w:val="016A347B"/>
    <w:rsid w:val="016A6A03"/>
    <w:rsid w:val="016C1F98"/>
    <w:rsid w:val="016F369C"/>
    <w:rsid w:val="0170792A"/>
    <w:rsid w:val="01754D1F"/>
    <w:rsid w:val="0179546C"/>
    <w:rsid w:val="01875C90"/>
    <w:rsid w:val="01A82B03"/>
    <w:rsid w:val="01C500FB"/>
    <w:rsid w:val="01C506B1"/>
    <w:rsid w:val="01D54C99"/>
    <w:rsid w:val="01DD4459"/>
    <w:rsid w:val="01E25AA9"/>
    <w:rsid w:val="01E274B5"/>
    <w:rsid w:val="01E71AE7"/>
    <w:rsid w:val="01E957C8"/>
    <w:rsid w:val="02090014"/>
    <w:rsid w:val="020B7CB4"/>
    <w:rsid w:val="022472BA"/>
    <w:rsid w:val="022B0132"/>
    <w:rsid w:val="024877DC"/>
    <w:rsid w:val="025158C3"/>
    <w:rsid w:val="025575E2"/>
    <w:rsid w:val="025D66A7"/>
    <w:rsid w:val="0269101C"/>
    <w:rsid w:val="027619AC"/>
    <w:rsid w:val="027F4D04"/>
    <w:rsid w:val="02813558"/>
    <w:rsid w:val="029A223F"/>
    <w:rsid w:val="029D39D0"/>
    <w:rsid w:val="029E162E"/>
    <w:rsid w:val="02AD32CA"/>
    <w:rsid w:val="02B17C78"/>
    <w:rsid w:val="02B7629B"/>
    <w:rsid w:val="02CE57FC"/>
    <w:rsid w:val="02E1776D"/>
    <w:rsid w:val="02FB6CDA"/>
    <w:rsid w:val="03065425"/>
    <w:rsid w:val="03074BC3"/>
    <w:rsid w:val="030E4104"/>
    <w:rsid w:val="033124A2"/>
    <w:rsid w:val="0346596A"/>
    <w:rsid w:val="034675D0"/>
    <w:rsid w:val="0361265C"/>
    <w:rsid w:val="0366722F"/>
    <w:rsid w:val="036D37D1"/>
    <w:rsid w:val="036D7252"/>
    <w:rsid w:val="03724C12"/>
    <w:rsid w:val="039475B6"/>
    <w:rsid w:val="0397607D"/>
    <w:rsid w:val="039E53B7"/>
    <w:rsid w:val="03A8149E"/>
    <w:rsid w:val="03CA500E"/>
    <w:rsid w:val="03CF76C7"/>
    <w:rsid w:val="03DA43AA"/>
    <w:rsid w:val="03E21ACE"/>
    <w:rsid w:val="03F64CC5"/>
    <w:rsid w:val="03F9088C"/>
    <w:rsid w:val="040E7E05"/>
    <w:rsid w:val="041C24F7"/>
    <w:rsid w:val="041C3122"/>
    <w:rsid w:val="041C4B89"/>
    <w:rsid w:val="042254F3"/>
    <w:rsid w:val="043E1DC9"/>
    <w:rsid w:val="04422C29"/>
    <w:rsid w:val="044E498E"/>
    <w:rsid w:val="046257EE"/>
    <w:rsid w:val="047A3B5A"/>
    <w:rsid w:val="047D2214"/>
    <w:rsid w:val="04A9250C"/>
    <w:rsid w:val="04AC6F16"/>
    <w:rsid w:val="04AE73E4"/>
    <w:rsid w:val="04B50017"/>
    <w:rsid w:val="04B740F8"/>
    <w:rsid w:val="04B932EE"/>
    <w:rsid w:val="04B952A9"/>
    <w:rsid w:val="04B95EFC"/>
    <w:rsid w:val="04C04179"/>
    <w:rsid w:val="04D0043F"/>
    <w:rsid w:val="04D60F7A"/>
    <w:rsid w:val="05015EA4"/>
    <w:rsid w:val="0503535E"/>
    <w:rsid w:val="052577FB"/>
    <w:rsid w:val="053171B4"/>
    <w:rsid w:val="05324418"/>
    <w:rsid w:val="05324903"/>
    <w:rsid w:val="053B0917"/>
    <w:rsid w:val="053E7FD9"/>
    <w:rsid w:val="05447CC3"/>
    <w:rsid w:val="05451E0C"/>
    <w:rsid w:val="05474F3F"/>
    <w:rsid w:val="05553859"/>
    <w:rsid w:val="055C658B"/>
    <w:rsid w:val="056062C2"/>
    <w:rsid w:val="05621467"/>
    <w:rsid w:val="059664B4"/>
    <w:rsid w:val="05977CB7"/>
    <w:rsid w:val="059A3B3C"/>
    <w:rsid w:val="059F1C35"/>
    <w:rsid w:val="05A33109"/>
    <w:rsid w:val="05AB7042"/>
    <w:rsid w:val="05B81A39"/>
    <w:rsid w:val="05BE6294"/>
    <w:rsid w:val="05CE41DA"/>
    <w:rsid w:val="05E32E5D"/>
    <w:rsid w:val="05E62C52"/>
    <w:rsid w:val="05E9459A"/>
    <w:rsid w:val="05EA1C5F"/>
    <w:rsid w:val="05F34650"/>
    <w:rsid w:val="05FA344C"/>
    <w:rsid w:val="05FB0B46"/>
    <w:rsid w:val="06035343"/>
    <w:rsid w:val="06082119"/>
    <w:rsid w:val="06391147"/>
    <w:rsid w:val="065473BE"/>
    <w:rsid w:val="065A48E2"/>
    <w:rsid w:val="065E7618"/>
    <w:rsid w:val="06847D38"/>
    <w:rsid w:val="06915CE3"/>
    <w:rsid w:val="069314C4"/>
    <w:rsid w:val="0698724C"/>
    <w:rsid w:val="06996E7F"/>
    <w:rsid w:val="06A95833"/>
    <w:rsid w:val="06A978FE"/>
    <w:rsid w:val="06B21E4C"/>
    <w:rsid w:val="06CB0065"/>
    <w:rsid w:val="06CB2706"/>
    <w:rsid w:val="06D73640"/>
    <w:rsid w:val="06F62DD6"/>
    <w:rsid w:val="07066B7C"/>
    <w:rsid w:val="070F1E70"/>
    <w:rsid w:val="071C5217"/>
    <w:rsid w:val="073D338D"/>
    <w:rsid w:val="07617018"/>
    <w:rsid w:val="076543EB"/>
    <w:rsid w:val="07673DFA"/>
    <w:rsid w:val="077F04D9"/>
    <w:rsid w:val="07875B46"/>
    <w:rsid w:val="07955350"/>
    <w:rsid w:val="079929F6"/>
    <w:rsid w:val="07A604E4"/>
    <w:rsid w:val="07A60BF7"/>
    <w:rsid w:val="07AD5399"/>
    <w:rsid w:val="07C57226"/>
    <w:rsid w:val="07D5604C"/>
    <w:rsid w:val="07DB4B1C"/>
    <w:rsid w:val="07DE524A"/>
    <w:rsid w:val="07E86EF1"/>
    <w:rsid w:val="07EA70C4"/>
    <w:rsid w:val="07F70C5E"/>
    <w:rsid w:val="07F82CD9"/>
    <w:rsid w:val="080848AC"/>
    <w:rsid w:val="08117DCC"/>
    <w:rsid w:val="081E2961"/>
    <w:rsid w:val="08265416"/>
    <w:rsid w:val="083C1125"/>
    <w:rsid w:val="08403C42"/>
    <w:rsid w:val="08467A26"/>
    <w:rsid w:val="08570A06"/>
    <w:rsid w:val="085C0443"/>
    <w:rsid w:val="085E6777"/>
    <w:rsid w:val="08673FC1"/>
    <w:rsid w:val="086F75C9"/>
    <w:rsid w:val="08830271"/>
    <w:rsid w:val="088766C0"/>
    <w:rsid w:val="089D18E5"/>
    <w:rsid w:val="089D1D18"/>
    <w:rsid w:val="089D3FDB"/>
    <w:rsid w:val="089D4136"/>
    <w:rsid w:val="08A13C26"/>
    <w:rsid w:val="08A90D2D"/>
    <w:rsid w:val="08B307CB"/>
    <w:rsid w:val="08B44A08"/>
    <w:rsid w:val="08B50FFC"/>
    <w:rsid w:val="08BF0F7E"/>
    <w:rsid w:val="08CB42A2"/>
    <w:rsid w:val="08E36F3C"/>
    <w:rsid w:val="08E7627A"/>
    <w:rsid w:val="08EC42B3"/>
    <w:rsid w:val="08F10715"/>
    <w:rsid w:val="08F23DFD"/>
    <w:rsid w:val="090A6020"/>
    <w:rsid w:val="093455E9"/>
    <w:rsid w:val="09353758"/>
    <w:rsid w:val="09382B90"/>
    <w:rsid w:val="093A3733"/>
    <w:rsid w:val="094037B7"/>
    <w:rsid w:val="09443E37"/>
    <w:rsid w:val="0947456E"/>
    <w:rsid w:val="094D03F1"/>
    <w:rsid w:val="094E11A2"/>
    <w:rsid w:val="095505E7"/>
    <w:rsid w:val="096E3835"/>
    <w:rsid w:val="09774987"/>
    <w:rsid w:val="09777232"/>
    <w:rsid w:val="097B123F"/>
    <w:rsid w:val="097D0458"/>
    <w:rsid w:val="09810AA5"/>
    <w:rsid w:val="09A43787"/>
    <w:rsid w:val="09B94D5A"/>
    <w:rsid w:val="09BB0135"/>
    <w:rsid w:val="09CA2D09"/>
    <w:rsid w:val="09CF79CB"/>
    <w:rsid w:val="09E10052"/>
    <w:rsid w:val="09F81088"/>
    <w:rsid w:val="0A014A39"/>
    <w:rsid w:val="0A0201A0"/>
    <w:rsid w:val="0A0A554A"/>
    <w:rsid w:val="0A314EAF"/>
    <w:rsid w:val="0A3B27BB"/>
    <w:rsid w:val="0A4930F8"/>
    <w:rsid w:val="0A544A65"/>
    <w:rsid w:val="0A565A68"/>
    <w:rsid w:val="0A636CB9"/>
    <w:rsid w:val="0A6D7E41"/>
    <w:rsid w:val="0A7E017B"/>
    <w:rsid w:val="0A8068C8"/>
    <w:rsid w:val="0A991CEE"/>
    <w:rsid w:val="0A9A4E0A"/>
    <w:rsid w:val="0A9D085B"/>
    <w:rsid w:val="0A9D6E0A"/>
    <w:rsid w:val="0AA05CF3"/>
    <w:rsid w:val="0ABA0FCF"/>
    <w:rsid w:val="0AC27E84"/>
    <w:rsid w:val="0ACE49E2"/>
    <w:rsid w:val="0AEA4588"/>
    <w:rsid w:val="0AFF4B52"/>
    <w:rsid w:val="0B1F0D10"/>
    <w:rsid w:val="0B353517"/>
    <w:rsid w:val="0B3C41E3"/>
    <w:rsid w:val="0B3F26EA"/>
    <w:rsid w:val="0B420FC5"/>
    <w:rsid w:val="0B5E2014"/>
    <w:rsid w:val="0B63493C"/>
    <w:rsid w:val="0B662F05"/>
    <w:rsid w:val="0B7373D0"/>
    <w:rsid w:val="0B750DFA"/>
    <w:rsid w:val="0B8406F4"/>
    <w:rsid w:val="0BA323C7"/>
    <w:rsid w:val="0BAE1C83"/>
    <w:rsid w:val="0BB4418E"/>
    <w:rsid w:val="0BBD2B5E"/>
    <w:rsid w:val="0BC66CD0"/>
    <w:rsid w:val="0BCB7BE9"/>
    <w:rsid w:val="0BD46106"/>
    <w:rsid w:val="0BD96CB7"/>
    <w:rsid w:val="0BEA32BC"/>
    <w:rsid w:val="0BEE6708"/>
    <w:rsid w:val="0C0759E4"/>
    <w:rsid w:val="0C0B13B7"/>
    <w:rsid w:val="0C0B585A"/>
    <w:rsid w:val="0C375A9E"/>
    <w:rsid w:val="0C497D73"/>
    <w:rsid w:val="0C5F7B4B"/>
    <w:rsid w:val="0C6108DC"/>
    <w:rsid w:val="0C68202D"/>
    <w:rsid w:val="0C6A22C4"/>
    <w:rsid w:val="0C750D3A"/>
    <w:rsid w:val="0C9263F5"/>
    <w:rsid w:val="0C976FC1"/>
    <w:rsid w:val="0C987C27"/>
    <w:rsid w:val="0C9B648F"/>
    <w:rsid w:val="0CB77F65"/>
    <w:rsid w:val="0CC21277"/>
    <w:rsid w:val="0CC64583"/>
    <w:rsid w:val="0CC7352F"/>
    <w:rsid w:val="0CC90F6D"/>
    <w:rsid w:val="0CDA0A12"/>
    <w:rsid w:val="0CDC05F0"/>
    <w:rsid w:val="0CF0162B"/>
    <w:rsid w:val="0CF224DC"/>
    <w:rsid w:val="0CF51C73"/>
    <w:rsid w:val="0D0F44E1"/>
    <w:rsid w:val="0D106B25"/>
    <w:rsid w:val="0D127F2D"/>
    <w:rsid w:val="0D183D8B"/>
    <w:rsid w:val="0D25009F"/>
    <w:rsid w:val="0D2546FA"/>
    <w:rsid w:val="0D2819A3"/>
    <w:rsid w:val="0D2E0FF4"/>
    <w:rsid w:val="0D3045A8"/>
    <w:rsid w:val="0D3638D4"/>
    <w:rsid w:val="0D406F2A"/>
    <w:rsid w:val="0D4A0304"/>
    <w:rsid w:val="0D4E3C51"/>
    <w:rsid w:val="0D523741"/>
    <w:rsid w:val="0D5A03BA"/>
    <w:rsid w:val="0D5E163D"/>
    <w:rsid w:val="0D834DAB"/>
    <w:rsid w:val="0D9B32E6"/>
    <w:rsid w:val="0DA74F86"/>
    <w:rsid w:val="0DAA3EFD"/>
    <w:rsid w:val="0DAB243F"/>
    <w:rsid w:val="0DB01F0D"/>
    <w:rsid w:val="0DDC6402"/>
    <w:rsid w:val="0DF76096"/>
    <w:rsid w:val="0E007A81"/>
    <w:rsid w:val="0E2774A7"/>
    <w:rsid w:val="0E370C8D"/>
    <w:rsid w:val="0E3857C6"/>
    <w:rsid w:val="0E520E22"/>
    <w:rsid w:val="0E562E51"/>
    <w:rsid w:val="0E5A6000"/>
    <w:rsid w:val="0E75310C"/>
    <w:rsid w:val="0E777342"/>
    <w:rsid w:val="0EA22765"/>
    <w:rsid w:val="0EAD56B4"/>
    <w:rsid w:val="0EAF2106"/>
    <w:rsid w:val="0EB14497"/>
    <w:rsid w:val="0EB36461"/>
    <w:rsid w:val="0EB6035E"/>
    <w:rsid w:val="0EB74D24"/>
    <w:rsid w:val="0EBF2140"/>
    <w:rsid w:val="0EBF3102"/>
    <w:rsid w:val="0EC30B46"/>
    <w:rsid w:val="0EC80476"/>
    <w:rsid w:val="0ECC6936"/>
    <w:rsid w:val="0ECD031B"/>
    <w:rsid w:val="0ECE0644"/>
    <w:rsid w:val="0EDA1316"/>
    <w:rsid w:val="0EF3685E"/>
    <w:rsid w:val="0EF600FC"/>
    <w:rsid w:val="0F087E2F"/>
    <w:rsid w:val="0F272FB3"/>
    <w:rsid w:val="0F476BAA"/>
    <w:rsid w:val="0F491ED6"/>
    <w:rsid w:val="0F4F2ED6"/>
    <w:rsid w:val="0F58440E"/>
    <w:rsid w:val="0F6159BE"/>
    <w:rsid w:val="0F6D16A6"/>
    <w:rsid w:val="0F733789"/>
    <w:rsid w:val="0F753717"/>
    <w:rsid w:val="0F852BDF"/>
    <w:rsid w:val="0F8B2F3A"/>
    <w:rsid w:val="0F8E7511"/>
    <w:rsid w:val="0F95334F"/>
    <w:rsid w:val="0F9F39A6"/>
    <w:rsid w:val="0FA20284"/>
    <w:rsid w:val="0FA25164"/>
    <w:rsid w:val="0FB01205"/>
    <w:rsid w:val="0FB12275"/>
    <w:rsid w:val="0FB13D39"/>
    <w:rsid w:val="0FB605AA"/>
    <w:rsid w:val="0FC03980"/>
    <w:rsid w:val="0FC1070A"/>
    <w:rsid w:val="0FC867A4"/>
    <w:rsid w:val="0FD640B1"/>
    <w:rsid w:val="0FDC470E"/>
    <w:rsid w:val="0FFA6753"/>
    <w:rsid w:val="0FFD438D"/>
    <w:rsid w:val="10005E9E"/>
    <w:rsid w:val="101664C3"/>
    <w:rsid w:val="101B6A03"/>
    <w:rsid w:val="104B6809"/>
    <w:rsid w:val="105166EF"/>
    <w:rsid w:val="10637FF6"/>
    <w:rsid w:val="106862F1"/>
    <w:rsid w:val="106C2D6C"/>
    <w:rsid w:val="107223A7"/>
    <w:rsid w:val="10792D6C"/>
    <w:rsid w:val="107B2FAF"/>
    <w:rsid w:val="10902C58"/>
    <w:rsid w:val="109E4EEF"/>
    <w:rsid w:val="10A43B1F"/>
    <w:rsid w:val="10B36E88"/>
    <w:rsid w:val="10D64C59"/>
    <w:rsid w:val="10D84B39"/>
    <w:rsid w:val="10E10621"/>
    <w:rsid w:val="10E86C12"/>
    <w:rsid w:val="10EC6ED1"/>
    <w:rsid w:val="10FC7634"/>
    <w:rsid w:val="11073A7F"/>
    <w:rsid w:val="11122BD6"/>
    <w:rsid w:val="111E1B8C"/>
    <w:rsid w:val="11401B02"/>
    <w:rsid w:val="11427B1D"/>
    <w:rsid w:val="11461EEA"/>
    <w:rsid w:val="11464774"/>
    <w:rsid w:val="114D134F"/>
    <w:rsid w:val="115549A4"/>
    <w:rsid w:val="115E4270"/>
    <w:rsid w:val="11641DB7"/>
    <w:rsid w:val="11644F66"/>
    <w:rsid w:val="116972AB"/>
    <w:rsid w:val="117E6A3C"/>
    <w:rsid w:val="118E4023"/>
    <w:rsid w:val="119E14D2"/>
    <w:rsid w:val="11A223B5"/>
    <w:rsid w:val="11AE74B8"/>
    <w:rsid w:val="11B02312"/>
    <w:rsid w:val="11B26B67"/>
    <w:rsid w:val="11B32A30"/>
    <w:rsid w:val="11B36778"/>
    <w:rsid w:val="11BB11F7"/>
    <w:rsid w:val="11BC61B2"/>
    <w:rsid w:val="11C37650"/>
    <w:rsid w:val="11C51A07"/>
    <w:rsid w:val="11CB47B9"/>
    <w:rsid w:val="11CF1761"/>
    <w:rsid w:val="11CF364A"/>
    <w:rsid w:val="11D32976"/>
    <w:rsid w:val="11E53B43"/>
    <w:rsid w:val="11FC518B"/>
    <w:rsid w:val="120F57AA"/>
    <w:rsid w:val="123024EB"/>
    <w:rsid w:val="12395CAA"/>
    <w:rsid w:val="124E650C"/>
    <w:rsid w:val="126F0FA1"/>
    <w:rsid w:val="1283764A"/>
    <w:rsid w:val="129A7E91"/>
    <w:rsid w:val="12AA19D3"/>
    <w:rsid w:val="12B5207C"/>
    <w:rsid w:val="12B65349"/>
    <w:rsid w:val="12BD20A6"/>
    <w:rsid w:val="12BE1EFF"/>
    <w:rsid w:val="12C4227B"/>
    <w:rsid w:val="12E44E0E"/>
    <w:rsid w:val="12E52414"/>
    <w:rsid w:val="12F820F0"/>
    <w:rsid w:val="12F90D13"/>
    <w:rsid w:val="12FE6C66"/>
    <w:rsid w:val="13063A06"/>
    <w:rsid w:val="1316385A"/>
    <w:rsid w:val="131E0D09"/>
    <w:rsid w:val="1327156F"/>
    <w:rsid w:val="133B4C77"/>
    <w:rsid w:val="133D6F42"/>
    <w:rsid w:val="134555A9"/>
    <w:rsid w:val="134D1106"/>
    <w:rsid w:val="13511BBE"/>
    <w:rsid w:val="135B032B"/>
    <w:rsid w:val="13631E88"/>
    <w:rsid w:val="136C5A04"/>
    <w:rsid w:val="136D7446"/>
    <w:rsid w:val="13752B47"/>
    <w:rsid w:val="137807A4"/>
    <w:rsid w:val="13A063AB"/>
    <w:rsid w:val="13A10F7E"/>
    <w:rsid w:val="13AE453A"/>
    <w:rsid w:val="13B50537"/>
    <w:rsid w:val="13B94F16"/>
    <w:rsid w:val="13B95FA9"/>
    <w:rsid w:val="13C3447C"/>
    <w:rsid w:val="13C7767B"/>
    <w:rsid w:val="13D03611"/>
    <w:rsid w:val="13F43579"/>
    <w:rsid w:val="13F54E26"/>
    <w:rsid w:val="13F97987"/>
    <w:rsid w:val="13FA243C"/>
    <w:rsid w:val="13FF7EBE"/>
    <w:rsid w:val="140D6782"/>
    <w:rsid w:val="141319BD"/>
    <w:rsid w:val="14162032"/>
    <w:rsid w:val="141A40B0"/>
    <w:rsid w:val="142D7CC6"/>
    <w:rsid w:val="142D7E21"/>
    <w:rsid w:val="143C29B4"/>
    <w:rsid w:val="143F0797"/>
    <w:rsid w:val="144813FA"/>
    <w:rsid w:val="144E32AB"/>
    <w:rsid w:val="14555BD7"/>
    <w:rsid w:val="145D4214"/>
    <w:rsid w:val="146B222A"/>
    <w:rsid w:val="146D3A5B"/>
    <w:rsid w:val="149503B7"/>
    <w:rsid w:val="14953848"/>
    <w:rsid w:val="149647EE"/>
    <w:rsid w:val="149952B1"/>
    <w:rsid w:val="14BB6070"/>
    <w:rsid w:val="14C667C2"/>
    <w:rsid w:val="14C82623"/>
    <w:rsid w:val="14D42C8D"/>
    <w:rsid w:val="14FE15B4"/>
    <w:rsid w:val="15036545"/>
    <w:rsid w:val="152023AA"/>
    <w:rsid w:val="15482E01"/>
    <w:rsid w:val="154C47C9"/>
    <w:rsid w:val="154F67FB"/>
    <w:rsid w:val="155D51EE"/>
    <w:rsid w:val="15640BCD"/>
    <w:rsid w:val="156E60D3"/>
    <w:rsid w:val="1573328F"/>
    <w:rsid w:val="158156D6"/>
    <w:rsid w:val="158346B4"/>
    <w:rsid w:val="15875729"/>
    <w:rsid w:val="158C334A"/>
    <w:rsid w:val="15913BC0"/>
    <w:rsid w:val="15966195"/>
    <w:rsid w:val="1597792D"/>
    <w:rsid w:val="15A703A2"/>
    <w:rsid w:val="15A72150"/>
    <w:rsid w:val="15B7607B"/>
    <w:rsid w:val="15B90315"/>
    <w:rsid w:val="15B9206A"/>
    <w:rsid w:val="15BD6B11"/>
    <w:rsid w:val="15FB06EE"/>
    <w:rsid w:val="15FD4466"/>
    <w:rsid w:val="160170FE"/>
    <w:rsid w:val="160907FA"/>
    <w:rsid w:val="160D0F4E"/>
    <w:rsid w:val="16135152"/>
    <w:rsid w:val="16184DFC"/>
    <w:rsid w:val="161F286C"/>
    <w:rsid w:val="162D49FB"/>
    <w:rsid w:val="163114C8"/>
    <w:rsid w:val="163D0008"/>
    <w:rsid w:val="16426169"/>
    <w:rsid w:val="164A7B7C"/>
    <w:rsid w:val="165C08BD"/>
    <w:rsid w:val="166A1DF6"/>
    <w:rsid w:val="166E5BAD"/>
    <w:rsid w:val="166E6187"/>
    <w:rsid w:val="167636B5"/>
    <w:rsid w:val="16877A29"/>
    <w:rsid w:val="168A36E1"/>
    <w:rsid w:val="168C6A1B"/>
    <w:rsid w:val="16AE73D8"/>
    <w:rsid w:val="16B66DAB"/>
    <w:rsid w:val="16BB299D"/>
    <w:rsid w:val="16BB7B7E"/>
    <w:rsid w:val="16C60CFC"/>
    <w:rsid w:val="16C70959"/>
    <w:rsid w:val="16C93FBD"/>
    <w:rsid w:val="16CF1EC1"/>
    <w:rsid w:val="16D31711"/>
    <w:rsid w:val="16D520FC"/>
    <w:rsid w:val="16E66CA8"/>
    <w:rsid w:val="16EE36AF"/>
    <w:rsid w:val="16F47617"/>
    <w:rsid w:val="17132932"/>
    <w:rsid w:val="171563AF"/>
    <w:rsid w:val="171A32B4"/>
    <w:rsid w:val="172E247F"/>
    <w:rsid w:val="17373B71"/>
    <w:rsid w:val="17387832"/>
    <w:rsid w:val="17481711"/>
    <w:rsid w:val="174F3B50"/>
    <w:rsid w:val="1770577A"/>
    <w:rsid w:val="177461FE"/>
    <w:rsid w:val="1786540A"/>
    <w:rsid w:val="17881EF7"/>
    <w:rsid w:val="179802C4"/>
    <w:rsid w:val="179A4C2E"/>
    <w:rsid w:val="17A8721F"/>
    <w:rsid w:val="17C02894"/>
    <w:rsid w:val="17D468F0"/>
    <w:rsid w:val="17D8609E"/>
    <w:rsid w:val="17DD09D5"/>
    <w:rsid w:val="17DF51AB"/>
    <w:rsid w:val="17E03569"/>
    <w:rsid w:val="17E854E8"/>
    <w:rsid w:val="1805490D"/>
    <w:rsid w:val="180D7B46"/>
    <w:rsid w:val="18207FAF"/>
    <w:rsid w:val="18503854"/>
    <w:rsid w:val="185D1C5F"/>
    <w:rsid w:val="185F0E9F"/>
    <w:rsid w:val="18636D79"/>
    <w:rsid w:val="186A2D78"/>
    <w:rsid w:val="187759D8"/>
    <w:rsid w:val="187D42AF"/>
    <w:rsid w:val="1880665C"/>
    <w:rsid w:val="188F525F"/>
    <w:rsid w:val="18A044D8"/>
    <w:rsid w:val="18AB63FB"/>
    <w:rsid w:val="18AC1B27"/>
    <w:rsid w:val="18AC1E92"/>
    <w:rsid w:val="18B36892"/>
    <w:rsid w:val="18B90B18"/>
    <w:rsid w:val="18C145EC"/>
    <w:rsid w:val="18D309FC"/>
    <w:rsid w:val="18D4519B"/>
    <w:rsid w:val="18D82525"/>
    <w:rsid w:val="18D95199"/>
    <w:rsid w:val="18E30925"/>
    <w:rsid w:val="18E476DF"/>
    <w:rsid w:val="18EC56F3"/>
    <w:rsid w:val="18FB72EE"/>
    <w:rsid w:val="19046C1E"/>
    <w:rsid w:val="190F2B7A"/>
    <w:rsid w:val="191D6711"/>
    <w:rsid w:val="19232232"/>
    <w:rsid w:val="19262CB2"/>
    <w:rsid w:val="192B6CFD"/>
    <w:rsid w:val="19314B62"/>
    <w:rsid w:val="19383B56"/>
    <w:rsid w:val="193C34F7"/>
    <w:rsid w:val="19452F69"/>
    <w:rsid w:val="194F322A"/>
    <w:rsid w:val="195051E7"/>
    <w:rsid w:val="195C1C7F"/>
    <w:rsid w:val="195D7CB0"/>
    <w:rsid w:val="19620EE9"/>
    <w:rsid w:val="19636D0A"/>
    <w:rsid w:val="19681569"/>
    <w:rsid w:val="196C394E"/>
    <w:rsid w:val="19734F2F"/>
    <w:rsid w:val="1977452F"/>
    <w:rsid w:val="199D30D1"/>
    <w:rsid w:val="19A7015E"/>
    <w:rsid w:val="19AA220F"/>
    <w:rsid w:val="19AB6A2A"/>
    <w:rsid w:val="19AC5F87"/>
    <w:rsid w:val="19AF0433"/>
    <w:rsid w:val="19C1510B"/>
    <w:rsid w:val="19C9185E"/>
    <w:rsid w:val="19CA27AA"/>
    <w:rsid w:val="19D06DEC"/>
    <w:rsid w:val="19DE60DA"/>
    <w:rsid w:val="19FB6F0E"/>
    <w:rsid w:val="1A05702B"/>
    <w:rsid w:val="1A161505"/>
    <w:rsid w:val="1A194379"/>
    <w:rsid w:val="1A19705E"/>
    <w:rsid w:val="1A276020"/>
    <w:rsid w:val="1A291C76"/>
    <w:rsid w:val="1A3B730B"/>
    <w:rsid w:val="1A420699"/>
    <w:rsid w:val="1A5051A8"/>
    <w:rsid w:val="1A517450"/>
    <w:rsid w:val="1A6262FB"/>
    <w:rsid w:val="1A6938B4"/>
    <w:rsid w:val="1A75281D"/>
    <w:rsid w:val="1A776632"/>
    <w:rsid w:val="1A7C7103"/>
    <w:rsid w:val="1A830AF4"/>
    <w:rsid w:val="1A8C7B66"/>
    <w:rsid w:val="1A8E06E1"/>
    <w:rsid w:val="1A9F4D39"/>
    <w:rsid w:val="1ABD72F2"/>
    <w:rsid w:val="1ABE3132"/>
    <w:rsid w:val="1AD847B2"/>
    <w:rsid w:val="1ADB110B"/>
    <w:rsid w:val="1AEE24F8"/>
    <w:rsid w:val="1AFF5B13"/>
    <w:rsid w:val="1B00735C"/>
    <w:rsid w:val="1B0942A8"/>
    <w:rsid w:val="1B171AA5"/>
    <w:rsid w:val="1B1E4ECB"/>
    <w:rsid w:val="1B243CC1"/>
    <w:rsid w:val="1B304996"/>
    <w:rsid w:val="1B3759E6"/>
    <w:rsid w:val="1B4072CF"/>
    <w:rsid w:val="1B506B23"/>
    <w:rsid w:val="1B5508A0"/>
    <w:rsid w:val="1B552A6F"/>
    <w:rsid w:val="1B623C8D"/>
    <w:rsid w:val="1B74084E"/>
    <w:rsid w:val="1B7415AB"/>
    <w:rsid w:val="1B756116"/>
    <w:rsid w:val="1B936F14"/>
    <w:rsid w:val="1B94434C"/>
    <w:rsid w:val="1B9967F3"/>
    <w:rsid w:val="1B9F598F"/>
    <w:rsid w:val="1BA2784E"/>
    <w:rsid w:val="1BB17CC9"/>
    <w:rsid w:val="1BBC09D1"/>
    <w:rsid w:val="1BC46718"/>
    <w:rsid w:val="1BCC573C"/>
    <w:rsid w:val="1BD709DA"/>
    <w:rsid w:val="1BD73B3C"/>
    <w:rsid w:val="1BDA6796"/>
    <w:rsid w:val="1BE62657"/>
    <w:rsid w:val="1BFB1448"/>
    <w:rsid w:val="1C053EF0"/>
    <w:rsid w:val="1C063A7D"/>
    <w:rsid w:val="1C071B9A"/>
    <w:rsid w:val="1C0F7544"/>
    <w:rsid w:val="1C174656"/>
    <w:rsid w:val="1C1C268C"/>
    <w:rsid w:val="1C43255C"/>
    <w:rsid w:val="1C442C42"/>
    <w:rsid w:val="1C593F90"/>
    <w:rsid w:val="1C6074FD"/>
    <w:rsid w:val="1C69015F"/>
    <w:rsid w:val="1C69401E"/>
    <w:rsid w:val="1C784846"/>
    <w:rsid w:val="1C802106"/>
    <w:rsid w:val="1C8369A5"/>
    <w:rsid w:val="1C99656B"/>
    <w:rsid w:val="1C9A47BD"/>
    <w:rsid w:val="1CAC6F0A"/>
    <w:rsid w:val="1CC41839"/>
    <w:rsid w:val="1CD2506C"/>
    <w:rsid w:val="1CD7242A"/>
    <w:rsid w:val="1CDA72AF"/>
    <w:rsid w:val="1CE4012E"/>
    <w:rsid w:val="1CE97394"/>
    <w:rsid w:val="1CF82F3D"/>
    <w:rsid w:val="1CFF2872"/>
    <w:rsid w:val="1D0752E1"/>
    <w:rsid w:val="1D13456F"/>
    <w:rsid w:val="1D266050"/>
    <w:rsid w:val="1D294C0D"/>
    <w:rsid w:val="1D4546AE"/>
    <w:rsid w:val="1D491B82"/>
    <w:rsid w:val="1D4E4CDC"/>
    <w:rsid w:val="1D4E4D20"/>
    <w:rsid w:val="1D4F1208"/>
    <w:rsid w:val="1D507457"/>
    <w:rsid w:val="1D5645B5"/>
    <w:rsid w:val="1D6435B0"/>
    <w:rsid w:val="1D6F2F52"/>
    <w:rsid w:val="1D854D74"/>
    <w:rsid w:val="1D8B4DA1"/>
    <w:rsid w:val="1D8D69DB"/>
    <w:rsid w:val="1D982087"/>
    <w:rsid w:val="1D9C4564"/>
    <w:rsid w:val="1DA529AF"/>
    <w:rsid w:val="1DCC15CD"/>
    <w:rsid w:val="1DCF493A"/>
    <w:rsid w:val="1DD80EE8"/>
    <w:rsid w:val="1DE40E59"/>
    <w:rsid w:val="1DE65585"/>
    <w:rsid w:val="1DF17CF1"/>
    <w:rsid w:val="1DFD282A"/>
    <w:rsid w:val="1DFE603B"/>
    <w:rsid w:val="1E1F7A40"/>
    <w:rsid w:val="1E2F3219"/>
    <w:rsid w:val="1E3918A2"/>
    <w:rsid w:val="1E3F4A5A"/>
    <w:rsid w:val="1E406EE4"/>
    <w:rsid w:val="1E4B2F31"/>
    <w:rsid w:val="1E4B7D84"/>
    <w:rsid w:val="1E5566B6"/>
    <w:rsid w:val="1E575CCD"/>
    <w:rsid w:val="1E601969"/>
    <w:rsid w:val="1E6750EF"/>
    <w:rsid w:val="1EA062D6"/>
    <w:rsid w:val="1EA913A5"/>
    <w:rsid w:val="1EB1403F"/>
    <w:rsid w:val="1EB678A8"/>
    <w:rsid w:val="1ECE06D1"/>
    <w:rsid w:val="1ED03DDD"/>
    <w:rsid w:val="1ED43525"/>
    <w:rsid w:val="1EEF06F2"/>
    <w:rsid w:val="1EF225BF"/>
    <w:rsid w:val="1EF579D3"/>
    <w:rsid w:val="1EF83724"/>
    <w:rsid w:val="1EFC62AD"/>
    <w:rsid w:val="1EFD6F88"/>
    <w:rsid w:val="1F0C7EB0"/>
    <w:rsid w:val="1F0F015E"/>
    <w:rsid w:val="1F176598"/>
    <w:rsid w:val="1F1A0416"/>
    <w:rsid w:val="1F200D23"/>
    <w:rsid w:val="1F222955"/>
    <w:rsid w:val="1F3802BD"/>
    <w:rsid w:val="1F5040E6"/>
    <w:rsid w:val="1F563C5F"/>
    <w:rsid w:val="1F624C6B"/>
    <w:rsid w:val="1F667F5D"/>
    <w:rsid w:val="1F6B2A31"/>
    <w:rsid w:val="1F8110BF"/>
    <w:rsid w:val="1F856829"/>
    <w:rsid w:val="1F8B6680"/>
    <w:rsid w:val="1F9870B8"/>
    <w:rsid w:val="1F9D55DF"/>
    <w:rsid w:val="1FC246CD"/>
    <w:rsid w:val="1FC524CA"/>
    <w:rsid w:val="1FC66E56"/>
    <w:rsid w:val="1FC8248D"/>
    <w:rsid w:val="1FCF7918"/>
    <w:rsid w:val="1FD15DA9"/>
    <w:rsid w:val="1FD47FE6"/>
    <w:rsid w:val="1FE12626"/>
    <w:rsid w:val="1FE87F35"/>
    <w:rsid w:val="1FF16DE9"/>
    <w:rsid w:val="1FF94A4E"/>
    <w:rsid w:val="2007660D"/>
    <w:rsid w:val="200C79C0"/>
    <w:rsid w:val="200F4A19"/>
    <w:rsid w:val="2011763E"/>
    <w:rsid w:val="20162FF0"/>
    <w:rsid w:val="20181C05"/>
    <w:rsid w:val="20232723"/>
    <w:rsid w:val="20232D1B"/>
    <w:rsid w:val="202D5948"/>
    <w:rsid w:val="202D76F6"/>
    <w:rsid w:val="20392737"/>
    <w:rsid w:val="203A6BC1"/>
    <w:rsid w:val="203E7078"/>
    <w:rsid w:val="20407429"/>
    <w:rsid w:val="20470244"/>
    <w:rsid w:val="20493295"/>
    <w:rsid w:val="205B427C"/>
    <w:rsid w:val="207C5ECE"/>
    <w:rsid w:val="207E225C"/>
    <w:rsid w:val="209916F9"/>
    <w:rsid w:val="20AF08EF"/>
    <w:rsid w:val="20C938D5"/>
    <w:rsid w:val="20CC053C"/>
    <w:rsid w:val="20D2371F"/>
    <w:rsid w:val="20E701EC"/>
    <w:rsid w:val="20E906AF"/>
    <w:rsid w:val="20EA1FD7"/>
    <w:rsid w:val="20F841A8"/>
    <w:rsid w:val="20F8473F"/>
    <w:rsid w:val="21056D13"/>
    <w:rsid w:val="21187A1A"/>
    <w:rsid w:val="211D59BC"/>
    <w:rsid w:val="212270F6"/>
    <w:rsid w:val="21296A4B"/>
    <w:rsid w:val="212E3170"/>
    <w:rsid w:val="214926A9"/>
    <w:rsid w:val="214D44F3"/>
    <w:rsid w:val="214F086A"/>
    <w:rsid w:val="21510035"/>
    <w:rsid w:val="2154589A"/>
    <w:rsid w:val="21626155"/>
    <w:rsid w:val="21664758"/>
    <w:rsid w:val="2186376B"/>
    <w:rsid w:val="21873624"/>
    <w:rsid w:val="219519F6"/>
    <w:rsid w:val="219F3811"/>
    <w:rsid w:val="21A1493D"/>
    <w:rsid w:val="21B40994"/>
    <w:rsid w:val="21C87FD5"/>
    <w:rsid w:val="21F726B1"/>
    <w:rsid w:val="21FA7AAB"/>
    <w:rsid w:val="22062A17"/>
    <w:rsid w:val="2209527D"/>
    <w:rsid w:val="220F3557"/>
    <w:rsid w:val="22105FB5"/>
    <w:rsid w:val="22113073"/>
    <w:rsid w:val="221D1D08"/>
    <w:rsid w:val="22207409"/>
    <w:rsid w:val="222468A6"/>
    <w:rsid w:val="2226616F"/>
    <w:rsid w:val="22317971"/>
    <w:rsid w:val="22397480"/>
    <w:rsid w:val="22510D4C"/>
    <w:rsid w:val="2263692C"/>
    <w:rsid w:val="227E7B19"/>
    <w:rsid w:val="229E5F79"/>
    <w:rsid w:val="22A03203"/>
    <w:rsid w:val="22B20386"/>
    <w:rsid w:val="22B81878"/>
    <w:rsid w:val="22C36DA7"/>
    <w:rsid w:val="22D12F02"/>
    <w:rsid w:val="22D13A9F"/>
    <w:rsid w:val="22D874CD"/>
    <w:rsid w:val="22DA7C53"/>
    <w:rsid w:val="22F837EF"/>
    <w:rsid w:val="23016812"/>
    <w:rsid w:val="23024E6A"/>
    <w:rsid w:val="2325382D"/>
    <w:rsid w:val="23272F9C"/>
    <w:rsid w:val="233D40F4"/>
    <w:rsid w:val="234608D5"/>
    <w:rsid w:val="234C386D"/>
    <w:rsid w:val="235B5B58"/>
    <w:rsid w:val="23676DFF"/>
    <w:rsid w:val="23690C12"/>
    <w:rsid w:val="23760888"/>
    <w:rsid w:val="2378337E"/>
    <w:rsid w:val="238D3706"/>
    <w:rsid w:val="23A16301"/>
    <w:rsid w:val="23AC0BDF"/>
    <w:rsid w:val="23B41DD5"/>
    <w:rsid w:val="23C429D6"/>
    <w:rsid w:val="23CC30C8"/>
    <w:rsid w:val="23D31ED9"/>
    <w:rsid w:val="23DB6DBF"/>
    <w:rsid w:val="23ED401F"/>
    <w:rsid w:val="23FE7D27"/>
    <w:rsid w:val="24085A8D"/>
    <w:rsid w:val="241906BD"/>
    <w:rsid w:val="241B61EA"/>
    <w:rsid w:val="24351603"/>
    <w:rsid w:val="243758A7"/>
    <w:rsid w:val="24435D90"/>
    <w:rsid w:val="245149DB"/>
    <w:rsid w:val="24552CD3"/>
    <w:rsid w:val="24572E13"/>
    <w:rsid w:val="246E1D0E"/>
    <w:rsid w:val="246F0D72"/>
    <w:rsid w:val="247D6B3E"/>
    <w:rsid w:val="24811149"/>
    <w:rsid w:val="248A5E0A"/>
    <w:rsid w:val="24905DB1"/>
    <w:rsid w:val="24995BE4"/>
    <w:rsid w:val="24995E9A"/>
    <w:rsid w:val="249A363E"/>
    <w:rsid w:val="24B0528E"/>
    <w:rsid w:val="24B15296"/>
    <w:rsid w:val="24CC02EC"/>
    <w:rsid w:val="24CD76F9"/>
    <w:rsid w:val="24D46CDA"/>
    <w:rsid w:val="24E16296"/>
    <w:rsid w:val="24F46BEF"/>
    <w:rsid w:val="25030EBC"/>
    <w:rsid w:val="250D5034"/>
    <w:rsid w:val="25115838"/>
    <w:rsid w:val="25133096"/>
    <w:rsid w:val="25156AA3"/>
    <w:rsid w:val="251C1654"/>
    <w:rsid w:val="251E6439"/>
    <w:rsid w:val="252456AD"/>
    <w:rsid w:val="252B68D3"/>
    <w:rsid w:val="25330E2E"/>
    <w:rsid w:val="25356628"/>
    <w:rsid w:val="253B1812"/>
    <w:rsid w:val="255D282B"/>
    <w:rsid w:val="256E68C3"/>
    <w:rsid w:val="256F3262"/>
    <w:rsid w:val="25733258"/>
    <w:rsid w:val="25781413"/>
    <w:rsid w:val="257A73DB"/>
    <w:rsid w:val="257C22DF"/>
    <w:rsid w:val="25853B30"/>
    <w:rsid w:val="25863B9A"/>
    <w:rsid w:val="258E5DDA"/>
    <w:rsid w:val="25937D84"/>
    <w:rsid w:val="25965D3D"/>
    <w:rsid w:val="259E1926"/>
    <w:rsid w:val="25A55A3C"/>
    <w:rsid w:val="25A62424"/>
    <w:rsid w:val="25A641D2"/>
    <w:rsid w:val="25AF683D"/>
    <w:rsid w:val="25BC570A"/>
    <w:rsid w:val="25CE197B"/>
    <w:rsid w:val="25D83A67"/>
    <w:rsid w:val="25F0584B"/>
    <w:rsid w:val="25F276B7"/>
    <w:rsid w:val="25FC63BA"/>
    <w:rsid w:val="26084E8D"/>
    <w:rsid w:val="262510D5"/>
    <w:rsid w:val="26292073"/>
    <w:rsid w:val="26355B15"/>
    <w:rsid w:val="2650413E"/>
    <w:rsid w:val="26555BF8"/>
    <w:rsid w:val="265E3CEE"/>
    <w:rsid w:val="266054E8"/>
    <w:rsid w:val="26753BA5"/>
    <w:rsid w:val="268921DF"/>
    <w:rsid w:val="268A2CD1"/>
    <w:rsid w:val="268C004B"/>
    <w:rsid w:val="26977FBF"/>
    <w:rsid w:val="26A6525E"/>
    <w:rsid w:val="26A7481C"/>
    <w:rsid w:val="26B05588"/>
    <w:rsid w:val="26B45331"/>
    <w:rsid w:val="26BB1CED"/>
    <w:rsid w:val="26BD285D"/>
    <w:rsid w:val="26BF6A4F"/>
    <w:rsid w:val="26C16DEA"/>
    <w:rsid w:val="26C97A99"/>
    <w:rsid w:val="26E32EDA"/>
    <w:rsid w:val="26F15921"/>
    <w:rsid w:val="26F6696D"/>
    <w:rsid w:val="270B5E85"/>
    <w:rsid w:val="270B6B49"/>
    <w:rsid w:val="27210E18"/>
    <w:rsid w:val="272F3D15"/>
    <w:rsid w:val="2737735D"/>
    <w:rsid w:val="27377C59"/>
    <w:rsid w:val="274A5D77"/>
    <w:rsid w:val="274E1BAD"/>
    <w:rsid w:val="275163C0"/>
    <w:rsid w:val="27602ABE"/>
    <w:rsid w:val="27603B29"/>
    <w:rsid w:val="2767395C"/>
    <w:rsid w:val="27786E27"/>
    <w:rsid w:val="277C2C61"/>
    <w:rsid w:val="277D65F0"/>
    <w:rsid w:val="27872DAC"/>
    <w:rsid w:val="2788387B"/>
    <w:rsid w:val="278E0C98"/>
    <w:rsid w:val="279223E7"/>
    <w:rsid w:val="2793220B"/>
    <w:rsid w:val="2794527C"/>
    <w:rsid w:val="27A0164A"/>
    <w:rsid w:val="27B13A9F"/>
    <w:rsid w:val="27C72023"/>
    <w:rsid w:val="27D2785F"/>
    <w:rsid w:val="27D935C6"/>
    <w:rsid w:val="27E535C9"/>
    <w:rsid w:val="27EE6FF6"/>
    <w:rsid w:val="27F3197E"/>
    <w:rsid w:val="27FE648E"/>
    <w:rsid w:val="28154C16"/>
    <w:rsid w:val="2823194A"/>
    <w:rsid w:val="28237D5C"/>
    <w:rsid w:val="282A5FC6"/>
    <w:rsid w:val="282C489C"/>
    <w:rsid w:val="28332B6C"/>
    <w:rsid w:val="283C7070"/>
    <w:rsid w:val="284174C8"/>
    <w:rsid w:val="28442D9D"/>
    <w:rsid w:val="28446E6C"/>
    <w:rsid w:val="284C2680"/>
    <w:rsid w:val="288633AC"/>
    <w:rsid w:val="288B2DBE"/>
    <w:rsid w:val="28A8551B"/>
    <w:rsid w:val="28B15B83"/>
    <w:rsid w:val="28BF3C18"/>
    <w:rsid w:val="28C35932"/>
    <w:rsid w:val="28CB186A"/>
    <w:rsid w:val="28CC1709"/>
    <w:rsid w:val="28CC5377"/>
    <w:rsid w:val="28CF44CD"/>
    <w:rsid w:val="28D17778"/>
    <w:rsid w:val="28DC4DC6"/>
    <w:rsid w:val="28F24E95"/>
    <w:rsid w:val="28F64240"/>
    <w:rsid w:val="28FA5C12"/>
    <w:rsid w:val="290966DE"/>
    <w:rsid w:val="29112296"/>
    <w:rsid w:val="291B385B"/>
    <w:rsid w:val="291E644B"/>
    <w:rsid w:val="292639D6"/>
    <w:rsid w:val="292A7329"/>
    <w:rsid w:val="294626C4"/>
    <w:rsid w:val="2949641C"/>
    <w:rsid w:val="294B15E2"/>
    <w:rsid w:val="29505682"/>
    <w:rsid w:val="295126A7"/>
    <w:rsid w:val="296905C4"/>
    <w:rsid w:val="29695805"/>
    <w:rsid w:val="296B4121"/>
    <w:rsid w:val="296D3CCA"/>
    <w:rsid w:val="296E563B"/>
    <w:rsid w:val="29757402"/>
    <w:rsid w:val="29764A51"/>
    <w:rsid w:val="297F47DD"/>
    <w:rsid w:val="29805D91"/>
    <w:rsid w:val="29932CBF"/>
    <w:rsid w:val="29937259"/>
    <w:rsid w:val="2997305B"/>
    <w:rsid w:val="29984596"/>
    <w:rsid w:val="299E04EE"/>
    <w:rsid w:val="29B030EB"/>
    <w:rsid w:val="29C42E79"/>
    <w:rsid w:val="29CC4694"/>
    <w:rsid w:val="29D209B1"/>
    <w:rsid w:val="29ED7714"/>
    <w:rsid w:val="29F15280"/>
    <w:rsid w:val="29F22DCB"/>
    <w:rsid w:val="29F2654C"/>
    <w:rsid w:val="29FA2A95"/>
    <w:rsid w:val="2A027E45"/>
    <w:rsid w:val="2A09497A"/>
    <w:rsid w:val="2A114F96"/>
    <w:rsid w:val="2A147DDC"/>
    <w:rsid w:val="2A3C4B22"/>
    <w:rsid w:val="2A3E713B"/>
    <w:rsid w:val="2A407D22"/>
    <w:rsid w:val="2A4471BF"/>
    <w:rsid w:val="2A5309D8"/>
    <w:rsid w:val="2A576F04"/>
    <w:rsid w:val="2A6E4DB5"/>
    <w:rsid w:val="2A6F1BF5"/>
    <w:rsid w:val="2A774807"/>
    <w:rsid w:val="2A7C1DF7"/>
    <w:rsid w:val="2A7E5139"/>
    <w:rsid w:val="2A8E5CA5"/>
    <w:rsid w:val="2A9B7114"/>
    <w:rsid w:val="2A9C524D"/>
    <w:rsid w:val="2AA07B14"/>
    <w:rsid w:val="2AA30FA3"/>
    <w:rsid w:val="2AA511C8"/>
    <w:rsid w:val="2AAD0D12"/>
    <w:rsid w:val="2AB05774"/>
    <w:rsid w:val="2AB4113F"/>
    <w:rsid w:val="2AB44614"/>
    <w:rsid w:val="2ACA64B0"/>
    <w:rsid w:val="2AD0584D"/>
    <w:rsid w:val="2B1F0D63"/>
    <w:rsid w:val="2B1F3F1D"/>
    <w:rsid w:val="2B230073"/>
    <w:rsid w:val="2B2A6844"/>
    <w:rsid w:val="2B347661"/>
    <w:rsid w:val="2B470615"/>
    <w:rsid w:val="2B4E6E2C"/>
    <w:rsid w:val="2B5B780D"/>
    <w:rsid w:val="2B6366C1"/>
    <w:rsid w:val="2B6B1B39"/>
    <w:rsid w:val="2B7579AC"/>
    <w:rsid w:val="2B830B12"/>
    <w:rsid w:val="2B85488A"/>
    <w:rsid w:val="2B8A0ED3"/>
    <w:rsid w:val="2B8A5AB5"/>
    <w:rsid w:val="2B8C79C6"/>
    <w:rsid w:val="2B9944E0"/>
    <w:rsid w:val="2BB77B14"/>
    <w:rsid w:val="2BBB5699"/>
    <w:rsid w:val="2BCA5A52"/>
    <w:rsid w:val="2BF46AAA"/>
    <w:rsid w:val="2BFA7026"/>
    <w:rsid w:val="2C003436"/>
    <w:rsid w:val="2C1E3EEF"/>
    <w:rsid w:val="2C335C31"/>
    <w:rsid w:val="2C3B5786"/>
    <w:rsid w:val="2C4C6718"/>
    <w:rsid w:val="2C562258"/>
    <w:rsid w:val="2C5E0C04"/>
    <w:rsid w:val="2C701096"/>
    <w:rsid w:val="2C7909D2"/>
    <w:rsid w:val="2C7E4731"/>
    <w:rsid w:val="2C8D1C48"/>
    <w:rsid w:val="2C8D7E9A"/>
    <w:rsid w:val="2C99105F"/>
    <w:rsid w:val="2C9C067B"/>
    <w:rsid w:val="2C9F197B"/>
    <w:rsid w:val="2CA0316D"/>
    <w:rsid w:val="2CA23219"/>
    <w:rsid w:val="2CA3146B"/>
    <w:rsid w:val="2CB36D85"/>
    <w:rsid w:val="2CBD20DB"/>
    <w:rsid w:val="2CD827F5"/>
    <w:rsid w:val="2CDA6E26"/>
    <w:rsid w:val="2CEF62A4"/>
    <w:rsid w:val="2D045C82"/>
    <w:rsid w:val="2D0C5273"/>
    <w:rsid w:val="2D104BC8"/>
    <w:rsid w:val="2D116D38"/>
    <w:rsid w:val="2D182A57"/>
    <w:rsid w:val="2D2C1AC4"/>
    <w:rsid w:val="2D330555"/>
    <w:rsid w:val="2D463E67"/>
    <w:rsid w:val="2D4B1441"/>
    <w:rsid w:val="2D4E0F27"/>
    <w:rsid w:val="2D504C61"/>
    <w:rsid w:val="2D552862"/>
    <w:rsid w:val="2D5E5392"/>
    <w:rsid w:val="2D614E83"/>
    <w:rsid w:val="2D777E39"/>
    <w:rsid w:val="2D7B1186"/>
    <w:rsid w:val="2D7E5A35"/>
    <w:rsid w:val="2D86366A"/>
    <w:rsid w:val="2D901D4F"/>
    <w:rsid w:val="2D9161E1"/>
    <w:rsid w:val="2D9A24A3"/>
    <w:rsid w:val="2D9E06C1"/>
    <w:rsid w:val="2DA24B01"/>
    <w:rsid w:val="2DAF5F3E"/>
    <w:rsid w:val="2DBF4E1C"/>
    <w:rsid w:val="2DCE064E"/>
    <w:rsid w:val="2DCE0E7D"/>
    <w:rsid w:val="2DD136C7"/>
    <w:rsid w:val="2DD37778"/>
    <w:rsid w:val="2DD650CC"/>
    <w:rsid w:val="2DD842F2"/>
    <w:rsid w:val="2DE47F8D"/>
    <w:rsid w:val="2DE956D9"/>
    <w:rsid w:val="2DFA2D34"/>
    <w:rsid w:val="2E0F540F"/>
    <w:rsid w:val="2E115F76"/>
    <w:rsid w:val="2E142504"/>
    <w:rsid w:val="2E1D7DF2"/>
    <w:rsid w:val="2E26728F"/>
    <w:rsid w:val="2E283D2E"/>
    <w:rsid w:val="2E2C1076"/>
    <w:rsid w:val="2E4C5A62"/>
    <w:rsid w:val="2E5D4CF4"/>
    <w:rsid w:val="2E6141F3"/>
    <w:rsid w:val="2E6B010D"/>
    <w:rsid w:val="2E72037A"/>
    <w:rsid w:val="2E76670C"/>
    <w:rsid w:val="2E786928"/>
    <w:rsid w:val="2E7B1F74"/>
    <w:rsid w:val="2E8157DC"/>
    <w:rsid w:val="2E875CA5"/>
    <w:rsid w:val="2E8C0CD8"/>
    <w:rsid w:val="2E8E614B"/>
    <w:rsid w:val="2EA26262"/>
    <w:rsid w:val="2EA87D8D"/>
    <w:rsid w:val="2EAA5642"/>
    <w:rsid w:val="2EAD5466"/>
    <w:rsid w:val="2EBE3571"/>
    <w:rsid w:val="2EC10C8F"/>
    <w:rsid w:val="2ED1497B"/>
    <w:rsid w:val="2ED30FAA"/>
    <w:rsid w:val="2ED32E1D"/>
    <w:rsid w:val="2ED741E5"/>
    <w:rsid w:val="2EE20E2C"/>
    <w:rsid w:val="2EE61AE3"/>
    <w:rsid w:val="2EF064BE"/>
    <w:rsid w:val="2EFF05F1"/>
    <w:rsid w:val="2F122E3F"/>
    <w:rsid w:val="2F1467FE"/>
    <w:rsid w:val="2F1D391E"/>
    <w:rsid w:val="2F251A84"/>
    <w:rsid w:val="2F462582"/>
    <w:rsid w:val="2F5515F8"/>
    <w:rsid w:val="2F5A3142"/>
    <w:rsid w:val="2F651327"/>
    <w:rsid w:val="2F666D27"/>
    <w:rsid w:val="2F6F317C"/>
    <w:rsid w:val="2F812BEE"/>
    <w:rsid w:val="2F82138B"/>
    <w:rsid w:val="2F93286F"/>
    <w:rsid w:val="2F94774A"/>
    <w:rsid w:val="2F97607B"/>
    <w:rsid w:val="2FA84FEB"/>
    <w:rsid w:val="2FB45297"/>
    <w:rsid w:val="2FBD14D9"/>
    <w:rsid w:val="2FC00D07"/>
    <w:rsid w:val="2FC7196E"/>
    <w:rsid w:val="2FD933F6"/>
    <w:rsid w:val="2FDB3E92"/>
    <w:rsid w:val="2FDE4774"/>
    <w:rsid w:val="2FFE3624"/>
    <w:rsid w:val="30006BD5"/>
    <w:rsid w:val="300266E3"/>
    <w:rsid w:val="300523FE"/>
    <w:rsid w:val="30057F5C"/>
    <w:rsid w:val="30245548"/>
    <w:rsid w:val="302546F5"/>
    <w:rsid w:val="302B71F6"/>
    <w:rsid w:val="30300452"/>
    <w:rsid w:val="303E2620"/>
    <w:rsid w:val="30414667"/>
    <w:rsid w:val="30436B7A"/>
    <w:rsid w:val="30532E43"/>
    <w:rsid w:val="3053665B"/>
    <w:rsid w:val="305C343B"/>
    <w:rsid w:val="30635070"/>
    <w:rsid w:val="30650873"/>
    <w:rsid w:val="308E0402"/>
    <w:rsid w:val="3090495A"/>
    <w:rsid w:val="30943006"/>
    <w:rsid w:val="30944E4D"/>
    <w:rsid w:val="309721F5"/>
    <w:rsid w:val="3098247E"/>
    <w:rsid w:val="309E5610"/>
    <w:rsid w:val="30A21A3A"/>
    <w:rsid w:val="30A6777C"/>
    <w:rsid w:val="30A82F01"/>
    <w:rsid w:val="30AF7CB8"/>
    <w:rsid w:val="30C771F7"/>
    <w:rsid w:val="30CE37FA"/>
    <w:rsid w:val="30DA5678"/>
    <w:rsid w:val="30E55974"/>
    <w:rsid w:val="30EA0F6A"/>
    <w:rsid w:val="30F11431"/>
    <w:rsid w:val="30FC4126"/>
    <w:rsid w:val="30FD6F35"/>
    <w:rsid w:val="31102E48"/>
    <w:rsid w:val="311403DD"/>
    <w:rsid w:val="31143E67"/>
    <w:rsid w:val="31144154"/>
    <w:rsid w:val="31195DC3"/>
    <w:rsid w:val="31231FEE"/>
    <w:rsid w:val="312B67FC"/>
    <w:rsid w:val="312F5276"/>
    <w:rsid w:val="313C565B"/>
    <w:rsid w:val="3148438F"/>
    <w:rsid w:val="314B289C"/>
    <w:rsid w:val="31662A68"/>
    <w:rsid w:val="31691327"/>
    <w:rsid w:val="31756DCD"/>
    <w:rsid w:val="31785E93"/>
    <w:rsid w:val="31807671"/>
    <w:rsid w:val="319B575E"/>
    <w:rsid w:val="319E2321"/>
    <w:rsid w:val="319E6025"/>
    <w:rsid w:val="31A063D2"/>
    <w:rsid w:val="31A5752F"/>
    <w:rsid w:val="31AA2E09"/>
    <w:rsid w:val="31BA1B68"/>
    <w:rsid w:val="31CE4334"/>
    <w:rsid w:val="31D9585C"/>
    <w:rsid w:val="31E56082"/>
    <w:rsid w:val="31EE4AA4"/>
    <w:rsid w:val="31F46964"/>
    <w:rsid w:val="3204466B"/>
    <w:rsid w:val="32052DBD"/>
    <w:rsid w:val="320D2C1E"/>
    <w:rsid w:val="32277304"/>
    <w:rsid w:val="322A1F9F"/>
    <w:rsid w:val="3231094A"/>
    <w:rsid w:val="3239017C"/>
    <w:rsid w:val="32427031"/>
    <w:rsid w:val="32442455"/>
    <w:rsid w:val="3248654D"/>
    <w:rsid w:val="324A70C2"/>
    <w:rsid w:val="326E6078"/>
    <w:rsid w:val="32700042"/>
    <w:rsid w:val="3274073E"/>
    <w:rsid w:val="32754907"/>
    <w:rsid w:val="327A5E6F"/>
    <w:rsid w:val="327F58EB"/>
    <w:rsid w:val="328639A3"/>
    <w:rsid w:val="328B61B4"/>
    <w:rsid w:val="328C0BF4"/>
    <w:rsid w:val="328F5620"/>
    <w:rsid w:val="32992A91"/>
    <w:rsid w:val="32A221C5"/>
    <w:rsid w:val="32BE3907"/>
    <w:rsid w:val="32C54756"/>
    <w:rsid w:val="32E22E4D"/>
    <w:rsid w:val="32E3433E"/>
    <w:rsid w:val="32F12E15"/>
    <w:rsid w:val="32F95C49"/>
    <w:rsid w:val="32FB0073"/>
    <w:rsid w:val="32FB4CF9"/>
    <w:rsid w:val="3320377D"/>
    <w:rsid w:val="33274BE3"/>
    <w:rsid w:val="33341D05"/>
    <w:rsid w:val="333B009C"/>
    <w:rsid w:val="333B34CD"/>
    <w:rsid w:val="33506860"/>
    <w:rsid w:val="33527747"/>
    <w:rsid w:val="33632643"/>
    <w:rsid w:val="336B0DC5"/>
    <w:rsid w:val="336D0843"/>
    <w:rsid w:val="337230C6"/>
    <w:rsid w:val="3381002D"/>
    <w:rsid w:val="33914373"/>
    <w:rsid w:val="3393124E"/>
    <w:rsid w:val="3395537A"/>
    <w:rsid w:val="33A37FA3"/>
    <w:rsid w:val="33B34145"/>
    <w:rsid w:val="33C7765E"/>
    <w:rsid w:val="33E12879"/>
    <w:rsid w:val="33E70001"/>
    <w:rsid w:val="33E93D1D"/>
    <w:rsid w:val="33EC6C5A"/>
    <w:rsid w:val="33F0207B"/>
    <w:rsid w:val="340803E1"/>
    <w:rsid w:val="340E1EBB"/>
    <w:rsid w:val="341618D6"/>
    <w:rsid w:val="342310E4"/>
    <w:rsid w:val="342568D0"/>
    <w:rsid w:val="342D5B8B"/>
    <w:rsid w:val="34315905"/>
    <w:rsid w:val="3432266F"/>
    <w:rsid w:val="344D35E9"/>
    <w:rsid w:val="3453193D"/>
    <w:rsid w:val="34645984"/>
    <w:rsid w:val="34742DBD"/>
    <w:rsid w:val="347F1D8A"/>
    <w:rsid w:val="34824787"/>
    <w:rsid w:val="348F0A64"/>
    <w:rsid w:val="34937F40"/>
    <w:rsid w:val="34A2447B"/>
    <w:rsid w:val="34AC2C11"/>
    <w:rsid w:val="34B14942"/>
    <w:rsid w:val="34BD73F9"/>
    <w:rsid w:val="34C60D28"/>
    <w:rsid w:val="34E7421E"/>
    <w:rsid w:val="34F34F5A"/>
    <w:rsid w:val="34F658B3"/>
    <w:rsid w:val="34FD36E3"/>
    <w:rsid w:val="34FF46B5"/>
    <w:rsid w:val="35041886"/>
    <w:rsid w:val="350E5544"/>
    <w:rsid w:val="351E2AB9"/>
    <w:rsid w:val="351E5C29"/>
    <w:rsid w:val="35256EA8"/>
    <w:rsid w:val="35357C93"/>
    <w:rsid w:val="35370DDB"/>
    <w:rsid w:val="3537521B"/>
    <w:rsid w:val="353B0E6B"/>
    <w:rsid w:val="354973AB"/>
    <w:rsid w:val="354D7FD6"/>
    <w:rsid w:val="35505F08"/>
    <w:rsid w:val="35582684"/>
    <w:rsid w:val="35601CF6"/>
    <w:rsid w:val="357724FF"/>
    <w:rsid w:val="35845BB2"/>
    <w:rsid w:val="358F5A07"/>
    <w:rsid w:val="35947598"/>
    <w:rsid w:val="359758E5"/>
    <w:rsid w:val="35983C98"/>
    <w:rsid w:val="359B59F0"/>
    <w:rsid w:val="35B40CDF"/>
    <w:rsid w:val="35B535D9"/>
    <w:rsid w:val="35C42ADE"/>
    <w:rsid w:val="35CC6486"/>
    <w:rsid w:val="35CE595E"/>
    <w:rsid w:val="35D52365"/>
    <w:rsid w:val="35D837A5"/>
    <w:rsid w:val="35DD0C22"/>
    <w:rsid w:val="35E638BE"/>
    <w:rsid w:val="35F0600B"/>
    <w:rsid w:val="35F2623F"/>
    <w:rsid w:val="360437A1"/>
    <w:rsid w:val="36065737"/>
    <w:rsid w:val="360775D6"/>
    <w:rsid w:val="36213401"/>
    <w:rsid w:val="36222FC7"/>
    <w:rsid w:val="36246FC4"/>
    <w:rsid w:val="362D7066"/>
    <w:rsid w:val="362E55D5"/>
    <w:rsid w:val="363C023B"/>
    <w:rsid w:val="36626C6A"/>
    <w:rsid w:val="366B6995"/>
    <w:rsid w:val="36721EAF"/>
    <w:rsid w:val="36837D62"/>
    <w:rsid w:val="36881F40"/>
    <w:rsid w:val="36943D5B"/>
    <w:rsid w:val="369A2B0E"/>
    <w:rsid w:val="36B15AEB"/>
    <w:rsid w:val="36B20B0C"/>
    <w:rsid w:val="36BA2093"/>
    <w:rsid w:val="36D86DA6"/>
    <w:rsid w:val="36F21249"/>
    <w:rsid w:val="36F32FEF"/>
    <w:rsid w:val="370612FE"/>
    <w:rsid w:val="37092813"/>
    <w:rsid w:val="37125E96"/>
    <w:rsid w:val="371261F4"/>
    <w:rsid w:val="37242B95"/>
    <w:rsid w:val="372826FD"/>
    <w:rsid w:val="37460B3B"/>
    <w:rsid w:val="374617A5"/>
    <w:rsid w:val="37585548"/>
    <w:rsid w:val="375A12C0"/>
    <w:rsid w:val="378B3649"/>
    <w:rsid w:val="378D6D31"/>
    <w:rsid w:val="379A140F"/>
    <w:rsid w:val="379D61C1"/>
    <w:rsid w:val="37A75B33"/>
    <w:rsid w:val="37C633E0"/>
    <w:rsid w:val="37C77BF4"/>
    <w:rsid w:val="37E2544D"/>
    <w:rsid w:val="37EB3F18"/>
    <w:rsid w:val="37F05750"/>
    <w:rsid w:val="37F7600D"/>
    <w:rsid w:val="37F94F0F"/>
    <w:rsid w:val="3804727C"/>
    <w:rsid w:val="38060B00"/>
    <w:rsid w:val="38090BE9"/>
    <w:rsid w:val="38105E97"/>
    <w:rsid w:val="38162F8D"/>
    <w:rsid w:val="384479E8"/>
    <w:rsid w:val="38453B42"/>
    <w:rsid w:val="384550F3"/>
    <w:rsid w:val="38455ACD"/>
    <w:rsid w:val="385C6972"/>
    <w:rsid w:val="386563FB"/>
    <w:rsid w:val="38777248"/>
    <w:rsid w:val="38874DB8"/>
    <w:rsid w:val="388F6D48"/>
    <w:rsid w:val="389C5B17"/>
    <w:rsid w:val="38A74091"/>
    <w:rsid w:val="38B247E4"/>
    <w:rsid w:val="38D86941"/>
    <w:rsid w:val="38DB3179"/>
    <w:rsid w:val="38E34E00"/>
    <w:rsid w:val="3900228D"/>
    <w:rsid w:val="39033292"/>
    <w:rsid w:val="39071EE4"/>
    <w:rsid w:val="39085A44"/>
    <w:rsid w:val="391A6BCE"/>
    <w:rsid w:val="39262069"/>
    <w:rsid w:val="39274701"/>
    <w:rsid w:val="392D4A3A"/>
    <w:rsid w:val="393A489B"/>
    <w:rsid w:val="394344A3"/>
    <w:rsid w:val="39592CAD"/>
    <w:rsid w:val="396B3311"/>
    <w:rsid w:val="39707766"/>
    <w:rsid w:val="39750C62"/>
    <w:rsid w:val="397A7F5A"/>
    <w:rsid w:val="398B750F"/>
    <w:rsid w:val="399B1F2E"/>
    <w:rsid w:val="399D5C31"/>
    <w:rsid w:val="39A04357"/>
    <w:rsid w:val="39A53BF7"/>
    <w:rsid w:val="39A71C2A"/>
    <w:rsid w:val="39AF64E0"/>
    <w:rsid w:val="39B85B5E"/>
    <w:rsid w:val="39C31B9D"/>
    <w:rsid w:val="39C468CC"/>
    <w:rsid w:val="39C63352"/>
    <w:rsid w:val="39C72511"/>
    <w:rsid w:val="39CB510F"/>
    <w:rsid w:val="39CE20E6"/>
    <w:rsid w:val="39CF561A"/>
    <w:rsid w:val="39E47E4D"/>
    <w:rsid w:val="39E72D80"/>
    <w:rsid w:val="39EC684F"/>
    <w:rsid w:val="39F15998"/>
    <w:rsid w:val="39F45093"/>
    <w:rsid w:val="3A056BC7"/>
    <w:rsid w:val="3A136C89"/>
    <w:rsid w:val="3A287454"/>
    <w:rsid w:val="3A2B0CF2"/>
    <w:rsid w:val="3A2C6C22"/>
    <w:rsid w:val="3A3274FB"/>
    <w:rsid w:val="3A396F6B"/>
    <w:rsid w:val="3A4A2479"/>
    <w:rsid w:val="3A50287B"/>
    <w:rsid w:val="3A5A72D0"/>
    <w:rsid w:val="3A5D6C22"/>
    <w:rsid w:val="3A63048C"/>
    <w:rsid w:val="3A72247D"/>
    <w:rsid w:val="3A7B27E9"/>
    <w:rsid w:val="3A884218"/>
    <w:rsid w:val="3A9D50D5"/>
    <w:rsid w:val="3ACB1702"/>
    <w:rsid w:val="3ACC0BF2"/>
    <w:rsid w:val="3AD924FC"/>
    <w:rsid w:val="3ADC6F93"/>
    <w:rsid w:val="3AE1517A"/>
    <w:rsid w:val="3AF42C7B"/>
    <w:rsid w:val="3B0F4D4E"/>
    <w:rsid w:val="3B286A42"/>
    <w:rsid w:val="3B390F77"/>
    <w:rsid w:val="3B3D1DAB"/>
    <w:rsid w:val="3B42329A"/>
    <w:rsid w:val="3B4B63DF"/>
    <w:rsid w:val="3B56250C"/>
    <w:rsid w:val="3B675841"/>
    <w:rsid w:val="3B751B9A"/>
    <w:rsid w:val="3B880D44"/>
    <w:rsid w:val="3B9F3746"/>
    <w:rsid w:val="3BA72815"/>
    <w:rsid w:val="3BBE2852"/>
    <w:rsid w:val="3BC75E7D"/>
    <w:rsid w:val="3BCF1725"/>
    <w:rsid w:val="3BCF39AA"/>
    <w:rsid w:val="3BD52EB9"/>
    <w:rsid w:val="3BDA7BD2"/>
    <w:rsid w:val="3BE15B0C"/>
    <w:rsid w:val="3BE71407"/>
    <w:rsid w:val="3BF43FDC"/>
    <w:rsid w:val="3BF45692"/>
    <w:rsid w:val="3C131A08"/>
    <w:rsid w:val="3C1732DC"/>
    <w:rsid w:val="3C2C5999"/>
    <w:rsid w:val="3C2D30DF"/>
    <w:rsid w:val="3C2E6878"/>
    <w:rsid w:val="3C3153B7"/>
    <w:rsid w:val="3C3C7E5D"/>
    <w:rsid w:val="3C516D0B"/>
    <w:rsid w:val="3C5C33E5"/>
    <w:rsid w:val="3C701613"/>
    <w:rsid w:val="3C714C15"/>
    <w:rsid w:val="3C772122"/>
    <w:rsid w:val="3C8841DA"/>
    <w:rsid w:val="3CAE17B3"/>
    <w:rsid w:val="3CB75AB3"/>
    <w:rsid w:val="3CC87796"/>
    <w:rsid w:val="3CCC03C3"/>
    <w:rsid w:val="3CCE2E69"/>
    <w:rsid w:val="3CD54FDA"/>
    <w:rsid w:val="3CD811AB"/>
    <w:rsid w:val="3CDD7E02"/>
    <w:rsid w:val="3CFC0724"/>
    <w:rsid w:val="3D052B68"/>
    <w:rsid w:val="3D07434F"/>
    <w:rsid w:val="3D077DB7"/>
    <w:rsid w:val="3D167A80"/>
    <w:rsid w:val="3D1F6BA9"/>
    <w:rsid w:val="3D2E3E9B"/>
    <w:rsid w:val="3D382461"/>
    <w:rsid w:val="3D477EA6"/>
    <w:rsid w:val="3D7604D6"/>
    <w:rsid w:val="3D831C40"/>
    <w:rsid w:val="3D9307FD"/>
    <w:rsid w:val="3D9D1B97"/>
    <w:rsid w:val="3D9F425B"/>
    <w:rsid w:val="3DAB75BC"/>
    <w:rsid w:val="3DB461D4"/>
    <w:rsid w:val="3DB50FFF"/>
    <w:rsid w:val="3DE13F1A"/>
    <w:rsid w:val="3DF06109"/>
    <w:rsid w:val="3E010501"/>
    <w:rsid w:val="3E0520A0"/>
    <w:rsid w:val="3E0755D2"/>
    <w:rsid w:val="3E0947C8"/>
    <w:rsid w:val="3E0D10DA"/>
    <w:rsid w:val="3E204782"/>
    <w:rsid w:val="3E297EEF"/>
    <w:rsid w:val="3E2E2B5F"/>
    <w:rsid w:val="3E356766"/>
    <w:rsid w:val="3E383AD3"/>
    <w:rsid w:val="3E3E055C"/>
    <w:rsid w:val="3E42660A"/>
    <w:rsid w:val="3E512C11"/>
    <w:rsid w:val="3E5B195E"/>
    <w:rsid w:val="3E6D78B8"/>
    <w:rsid w:val="3E7F009E"/>
    <w:rsid w:val="3E802A97"/>
    <w:rsid w:val="3E805321"/>
    <w:rsid w:val="3E84270B"/>
    <w:rsid w:val="3E86687F"/>
    <w:rsid w:val="3E8C415D"/>
    <w:rsid w:val="3E8E6B42"/>
    <w:rsid w:val="3E9B4A90"/>
    <w:rsid w:val="3E9F1590"/>
    <w:rsid w:val="3EA572C5"/>
    <w:rsid w:val="3ED41300"/>
    <w:rsid w:val="3ED970DD"/>
    <w:rsid w:val="3EDE649E"/>
    <w:rsid w:val="3EE539C0"/>
    <w:rsid w:val="3EE66096"/>
    <w:rsid w:val="3EE96ED0"/>
    <w:rsid w:val="3EF96098"/>
    <w:rsid w:val="3EFE7A2A"/>
    <w:rsid w:val="3F0F4A92"/>
    <w:rsid w:val="3F10721A"/>
    <w:rsid w:val="3F1164D4"/>
    <w:rsid w:val="3F1B0559"/>
    <w:rsid w:val="3F263461"/>
    <w:rsid w:val="3F265970"/>
    <w:rsid w:val="3F2A7441"/>
    <w:rsid w:val="3F424B14"/>
    <w:rsid w:val="3F4A1648"/>
    <w:rsid w:val="3F4A5777"/>
    <w:rsid w:val="3F4F7C6C"/>
    <w:rsid w:val="3F591283"/>
    <w:rsid w:val="3F5D1180"/>
    <w:rsid w:val="3F6A7E9A"/>
    <w:rsid w:val="3F6E0775"/>
    <w:rsid w:val="3F815FF5"/>
    <w:rsid w:val="3F865953"/>
    <w:rsid w:val="3F88629F"/>
    <w:rsid w:val="3F8E13F7"/>
    <w:rsid w:val="3F9A26D1"/>
    <w:rsid w:val="3FA03850"/>
    <w:rsid w:val="3FA45178"/>
    <w:rsid w:val="3FA661B7"/>
    <w:rsid w:val="3FDA1CE4"/>
    <w:rsid w:val="3FE276C4"/>
    <w:rsid w:val="3FE74347"/>
    <w:rsid w:val="3FF44635"/>
    <w:rsid w:val="3FF51B86"/>
    <w:rsid w:val="3FF73837"/>
    <w:rsid w:val="3FFA2535"/>
    <w:rsid w:val="401F3FE0"/>
    <w:rsid w:val="4025461E"/>
    <w:rsid w:val="402E6E46"/>
    <w:rsid w:val="404F5B04"/>
    <w:rsid w:val="40625164"/>
    <w:rsid w:val="40692C08"/>
    <w:rsid w:val="40700C46"/>
    <w:rsid w:val="407F1BFB"/>
    <w:rsid w:val="408074D0"/>
    <w:rsid w:val="408E5B37"/>
    <w:rsid w:val="40923879"/>
    <w:rsid w:val="409F1081"/>
    <w:rsid w:val="409F3D9B"/>
    <w:rsid w:val="40A75C9F"/>
    <w:rsid w:val="40AD7F08"/>
    <w:rsid w:val="40BF61F6"/>
    <w:rsid w:val="40C610A8"/>
    <w:rsid w:val="40D3586A"/>
    <w:rsid w:val="40D6214F"/>
    <w:rsid w:val="40D76F44"/>
    <w:rsid w:val="40E1035D"/>
    <w:rsid w:val="40EE1BD9"/>
    <w:rsid w:val="40F138CD"/>
    <w:rsid w:val="40F20EF9"/>
    <w:rsid w:val="40F85576"/>
    <w:rsid w:val="40FB18E2"/>
    <w:rsid w:val="40FC4938"/>
    <w:rsid w:val="41183B1B"/>
    <w:rsid w:val="412A2779"/>
    <w:rsid w:val="413516BF"/>
    <w:rsid w:val="414210EC"/>
    <w:rsid w:val="41451E25"/>
    <w:rsid w:val="415C387B"/>
    <w:rsid w:val="415D0C47"/>
    <w:rsid w:val="41793599"/>
    <w:rsid w:val="417D577E"/>
    <w:rsid w:val="4180784A"/>
    <w:rsid w:val="41A4122D"/>
    <w:rsid w:val="41BF1AB4"/>
    <w:rsid w:val="41C218EF"/>
    <w:rsid w:val="41CF5BE6"/>
    <w:rsid w:val="42004442"/>
    <w:rsid w:val="421844EF"/>
    <w:rsid w:val="421A7B29"/>
    <w:rsid w:val="42272E99"/>
    <w:rsid w:val="422B70BE"/>
    <w:rsid w:val="422E2F3F"/>
    <w:rsid w:val="423A57B9"/>
    <w:rsid w:val="426538C6"/>
    <w:rsid w:val="427A2817"/>
    <w:rsid w:val="427F1696"/>
    <w:rsid w:val="42815953"/>
    <w:rsid w:val="428B18B9"/>
    <w:rsid w:val="428D340A"/>
    <w:rsid w:val="42B5228E"/>
    <w:rsid w:val="42C22CF3"/>
    <w:rsid w:val="42CE4911"/>
    <w:rsid w:val="42D35C99"/>
    <w:rsid w:val="42E859D2"/>
    <w:rsid w:val="42ED00E3"/>
    <w:rsid w:val="42EF6D61"/>
    <w:rsid w:val="42F36125"/>
    <w:rsid w:val="42F5314F"/>
    <w:rsid w:val="432333B7"/>
    <w:rsid w:val="43244531"/>
    <w:rsid w:val="43254DBA"/>
    <w:rsid w:val="432F55C8"/>
    <w:rsid w:val="43300D23"/>
    <w:rsid w:val="43340C18"/>
    <w:rsid w:val="4346094B"/>
    <w:rsid w:val="43500D50"/>
    <w:rsid w:val="435E3EE6"/>
    <w:rsid w:val="435E5954"/>
    <w:rsid w:val="43601A05"/>
    <w:rsid w:val="43690D26"/>
    <w:rsid w:val="436F1C50"/>
    <w:rsid w:val="43754D8C"/>
    <w:rsid w:val="43860D47"/>
    <w:rsid w:val="438D796C"/>
    <w:rsid w:val="439E6277"/>
    <w:rsid w:val="43A0005B"/>
    <w:rsid w:val="43AD4526"/>
    <w:rsid w:val="43B12268"/>
    <w:rsid w:val="43B424A5"/>
    <w:rsid w:val="43B5704D"/>
    <w:rsid w:val="43CB491B"/>
    <w:rsid w:val="43D145A4"/>
    <w:rsid w:val="43D20C3F"/>
    <w:rsid w:val="43F15445"/>
    <w:rsid w:val="43FE2BB3"/>
    <w:rsid w:val="43FE3C81"/>
    <w:rsid w:val="44004F9E"/>
    <w:rsid w:val="44015891"/>
    <w:rsid w:val="44044ED3"/>
    <w:rsid w:val="44056564"/>
    <w:rsid w:val="440B12AD"/>
    <w:rsid w:val="44174342"/>
    <w:rsid w:val="441933AD"/>
    <w:rsid w:val="442347E8"/>
    <w:rsid w:val="442B5C35"/>
    <w:rsid w:val="443165E2"/>
    <w:rsid w:val="44427364"/>
    <w:rsid w:val="44450A98"/>
    <w:rsid w:val="44471E3E"/>
    <w:rsid w:val="445F1CC4"/>
    <w:rsid w:val="44607480"/>
    <w:rsid w:val="44650275"/>
    <w:rsid w:val="4467501D"/>
    <w:rsid w:val="44737239"/>
    <w:rsid w:val="44927C1E"/>
    <w:rsid w:val="449916A6"/>
    <w:rsid w:val="44AB5BA9"/>
    <w:rsid w:val="44B31CFD"/>
    <w:rsid w:val="44C13ED9"/>
    <w:rsid w:val="44C15AC6"/>
    <w:rsid w:val="44C175DE"/>
    <w:rsid w:val="44CB08F0"/>
    <w:rsid w:val="44DA46CB"/>
    <w:rsid w:val="44E65F41"/>
    <w:rsid w:val="44EC6DD6"/>
    <w:rsid w:val="44F7014F"/>
    <w:rsid w:val="451A1DE7"/>
    <w:rsid w:val="452A7A10"/>
    <w:rsid w:val="452B40CC"/>
    <w:rsid w:val="452C5E9D"/>
    <w:rsid w:val="45444C5B"/>
    <w:rsid w:val="45462E84"/>
    <w:rsid w:val="4548765B"/>
    <w:rsid w:val="45493727"/>
    <w:rsid w:val="4552152A"/>
    <w:rsid w:val="455455A1"/>
    <w:rsid w:val="45572644"/>
    <w:rsid w:val="455869AF"/>
    <w:rsid w:val="45740EDD"/>
    <w:rsid w:val="45961716"/>
    <w:rsid w:val="459D7FA8"/>
    <w:rsid w:val="45A302B0"/>
    <w:rsid w:val="45A333B4"/>
    <w:rsid w:val="45B12988"/>
    <w:rsid w:val="45B359C0"/>
    <w:rsid w:val="45D7678B"/>
    <w:rsid w:val="45E024B5"/>
    <w:rsid w:val="45E516A0"/>
    <w:rsid w:val="45FE618C"/>
    <w:rsid w:val="46044B84"/>
    <w:rsid w:val="460E46E2"/>
    <w:rsid w:val="461056D9"/>
    <w:rsid w:val="461E3F3C"/>
    <w:rsid w:val="462F0322"/>
    <w:rsid w:val="463474E6"/>
    <w:rsid w:val="463D6035"/>
    <w:rsid w:val="465B4E54"/>
    <w:rsid w:val="465B6EF4"/>
    <w:rsid w:val="46633F07"/>
    <w:rsid w:val="46713F31"/>
    <w:rsid w:val="467557CF"/>
    <w:rsid w:val="467632F5"/>
    <w:rsid w:val="46767F55"/>
    <w:rsid w:val="4683443C"/>
    <w:rsid w:val="46887A2C"/>
    <w:rsid w:val="468B3898"/>
    <w:rsid w:val="468C3DB7"/>
    <w:rsid w:val="468E4FDE"/>
    <w:rsid w:val="469079DC"/>
    <w:rsid w:val="46A43C59"/>
    <w:rsid w:val="46B5485A"/>
    <w:rsid w:val="46C71C01"/>
    <w:rsid w:val="46DC4B50"/>
    <w:rsid w:val="46EC0F77"/>
    <w:rsid w:val="46F76D0D"/>
    <w:rsid w:val="47003BF3"/>
    <w:rsid w:val="471F7E5D"/>
    <w:rsid w:val="47206B69"/>
    <w:rsid w:val="472335EA"/>
    <w:rsid w:val="473311E6"/>
    <w:rsid w:val="473A4323"/>
    <w:rsid w:val="473A7409"/>
    <w:rsid w:val="4741698C"/>
    <w:rsid w:val="474A22AA"/>
    <w:rsid w:val="474C07AF"/>
    <w:rsid w:val="475259E8"/>
    <w:rsid w:val="475A5F5D"/>
    <w:rsid w:val="47605D8B"/>
    <w:rsid w:val="47680E90"/>
    <w:rsid w:val="477737C9"/>
    <w:rsid w:val="477C68EF"/>
    <w:rsid w:val="478B64D6"/>
    <w:rsid w:val="478C12EA"/>
    <w:rsid w:val="479273DE"/>
    <w:rsid w:val="479954ED"/>
    <w:rsid w:val="47A86457"/>
    <w:rsid w:val="47B82737"/>
    <w:rsid w:val="47C80214"/>
    <w:rsid w:val="47D529DC"/>
    <w:rsid w:val="47ED1C37"/>
    <w:rsid w:val="47F00E85"/>
    <w:rsid w:val="47F52EC5"/>
    <w:rsid w:val="47F6273A"/>
    <w:rsid w:val="47FC782A"/>
    <w:rsid w:val="48066729"/>
    <w:rsid w:val="480D4044"/>
    <w:rsid w:val="482D0A0D"/>
    <w:rsid w:val="48581549"/>
    <w:rsid w:val="48623B31"/>
    <w:rsid w:val="4867306C"/>
    <w:rsid w:val="4869027B"/>
    <w:rsid w:val="487E1548"/>
    <w:rsid w:val="487E7244"/>
    <w:rsid w:val="488849EF"/>
    <w:rsid w:val="488D616C"/>
    <w:rsid w:val="48942FA6"/>
    <w:rsid w:val="48943F06"/>
    <w:rsid w:val="48951AC8"/>
    <w:rsid w:val="489936DC"/>
    <w:rsid w:val="489F0DA6"/>
    <w:rsid w:val="48B30FE9"/>
    <w:rsid w:val="48BB43AD"/>
    <w:rsid w:val="48BE7943"/>
    <w:rsid w:val="48C43988"/>
    <w:rsid w:val="48D559F4"/>
    <w:rsid w:val="48FA2E46"/>
    <w:rsid w:val="48FF3A76"/>
    <w:rsid w:val="491B2481"/>
    <w:rsid w:val="49203B07"/>
    <w:rsid w:val="49256AF8"/>
    <w:rsid w:val="493419A5"/>
    <w:rsid w:val="493B49B5"/>
    <w:rsid w:val="494646D5"/>
    <w:rsid w:val="49506A17"/>
    <w:rsid w:val="49593F65"/>
    <w:rsid w:val="495F552A"/>
    <w:rsid w:val="4960614B"/>
    <w:rsid w:val="496164DE"/>
    <w:rsid w:val="496201DA"/>
    <w:rsid w:val="49896CB2"/>
    <w:rsid w:val="498C1F04"/>
    <w:rsid w:val="49D97612"/>
    <w:rsid w:val="49FC664A"/>
    <w:rsid w:val="4A100D68"/>
    <w:rsid w:val="4A17561C"/>
    <w:rsid w:val="4A1B4CCC"/>
    <w:rsid w:val="4A1E2A04"/>
    <w:rsid w:val="4A2F7355"/>
    <w:rsid w:val="4A34774F"/>
    <w:rsid w:val="4A490B69"/>
    <w:rsid w:val="4A540F72"/>
    <w:rsid w:val="4A584A3E"/>
    <w:rsid w:val="4A8204BA"/>
    <w:rsid w:val="4A8C102A"/>
    <w:rsid w:val="4A8F0E29"/>
    <w:rsid w:val="4A910A87"/>
    <w:rsid w:val="4A934476"/>
    <w:rsid w:val="4A987CDE"/>
    <w:rsid w:val="4A9E3341"/>
    <w:rsid w:val="4AA27D8E"/>
    <w:rsid w:val="4AA33F0E"/>
    <w:rsid w:val="4AB92E0B"/>
    <w:rsid w:val="4ACB2585"/>
    <w:rsid w:val="4ACB5305"/>
    <w:rsid w:val="4ACE1A40"/>
    <w:rsid w:val="4AE40168"/>
    <w:rsid w:val="4AE54AD7"/>
    <w:rsid w:val="4AE74670"/>
    <w:rsid w:val="4AE91781"/>
    <w:rsid w:val="4AEB2784"/>
    <w:rsid w:val="4AEF4DBF"/>
    <w:rsid w:val="4B043FA0"/>
    <w:rsid w:val="4B0E375B"/>
    <w:rsid w:val="4B250346"/>
    <w:rsid w:val="4B256D02"/>
    <w:rsid w:val="4B2D770D"/>
    <w:rsid w:val="4B3A3A58"/>
    <w:rsid w:val="4B4C00FD"/>
    <w:rsid w:val="4B524F04"/>
    <w:rsid w:val="4B5C51AF"/>
    <w:rsid w:val="4B5D6832"/>
    <w:rsid w:val="4B685F7F"/>
    <w:rsid w:val="4B6C05C9"/>
    <w:rsid w:val="4B6E0A3F"/>
    <w:rsid w:val="4B713F81"/>
    <w:rsid w:val="4B751DCD"/>
    <w:rsid w:val="4B7D630F"/>
    <w:rsid w:val="4B7E21B3"/>
    <w:rsid w:val="4B8950EC"/>
    <w:rsid w:val="4B8C4E3F"/>
    <w:rsid w:val="4B8E4944"/>
    <w:rsid w:val="4B911B6E"/>
    <w:rsid w:val="4B9423F1"/>
    <w:rsid w:val="4B9C7B2F"/>
    <w:rsid w:val="4BA25D00"/>
    <w:rsid w:val="4BA93746"/>
    <w:rsid w:val="4BAB2997"/>
    <w:rsid w:val="4BD05BD0"/>
    <w:rsid w:val="4BD94EF1"/>
    <w:rsid w:val="4C007AE3"/>
    <w:rsid w:val="4C0800CA"/>
    <w:rsid w:val="4C080E93"/>
    <w:rsid w:val="4C0D7F4D"/>
    <w:rsid w:val="4C1827E3"/>
    <w:rsid w:val="4C211C2E"/>
    <w:rsid w:val="4C2B21A6"/>
    <w:rsid w:val="4C3C4EE7"/>
    <w:rsid w:val="4C4F3C66"/>
    <w:rsid w:val="4C5C2F8D"/>
    <w:rsid w:val="4C6C1F70"/>
    <w:rsid w:val="4C7327B1"/>
    <w:rsid w:val="4C736889"/>
    <w:rsid w:val="4C7958ED"/>
    <w:rsid w:val="4C833AA1"/>
    <w:rsid w:val="4C87000A"/>
    <w:rsid w:val="4CA706AC"/>
    <w:rsid w:val="4CAB5C97"/>
    <w:rsid w:val="4CBA6B69"/>
    <w:rsid w:val="4CBB278F"/>
    <w:rsid w:val="4CC924EE"/>
    <w:rsid w:val="4CCB6A67"/>
    <w:rsid w:val="4CCC1EC1"/>
    <w:rsid w:val="4CD63C05"/>
    <w:rsid w:val="4CDE0C71"/>
    <w:rsid w:val="4CF07121"/>
    <w:rsid w:val="4D354F98"/>
    <w:rsid w:val="4D3B2BA3"/>
    <w:rsid w:val="4D3F2693"/>
    <w:rsid w:val="4D4C59B5"/>
    <w:rsid w:val="4D586F0F"/>
    <w:rsid w:val="4D5B3725"/>
    <w:rsid w:val="4D5C3245"/>
    <w:rsid w:val="4D6B7677"/>
    <w:rsid w:val="4D6D1918"/>
    <w:rsid w:val="4D6D36A4"/>
    <w:rsid w:val="4D731404"/>
    <w:rsid w:val="4D8152A8"/>
    <w:rsid w:val="4D8444B9"/>
    <w:rsid w:val="4D88721A"/>
    <w:rsid w:val="4D8B05FD"/>
    <w:rsid w:val="4D8E0B85"/>
    <w:rsid w:val="4D8E7B65"/>
    <w:rsid w:val="4DA1466C"/>
    <w:rsid w:val="4DAB0EB8"/>
    <w:rsid w:val="4DAE095F"/>
    <w:rsid w:val="4DB51D17"/>
    <w:rsid w:val="4DB83B3C"/>
    <w:rsid w:val="4DB93571"/>
    <w:rsid w:val="4DBD3AAC"/>
    <w:rsid w:val="4DC11A49"/>
    <w:rsid w:val="4DC17C97"/>
    <w:rsid w:val="4DC67878"/>
    <w:rsid w:val="4DC93BE9"/>
    <w:rsid w:val="4DD35A0E"/>
    <w:rsid w:val="4DD47F4F"/>
    <w:rsid w:val="4DD653D5"/>
    <w:rsid w:val="4DDB5F51"/>
    <w:rsid w:val="4DDC6134"/>
    <w:rsid w:val="4DEB6C36"/>
    <w:rsid w:val="4DEB7713"/>
    <w:rsid w:val="4DEC34E8"/>
    <w:rsid w:val="4DF464B0"/>
    <w:rsid w:val="4DFE61B7"/>
    <w:rsid w:val="4E047438"/>
    <w:rsid w:val="4E0A7BD5"/>
    <w:rsid w:val="4E143551"/>
    <w:rsid w:val="4E1759BE"/>
    <w:rsid w:val="4E1D5DC8"/>
    <w:rsid w:val="4E2B16EB"/>
    <w:rsid w:val="4E3846B3"/>
    <w:rsid w:val="4E4361B3"/>
    <w:rsid w:val="4E575253"/>
    <w:rsid w:val="4E5C474A"/>
    <w:rsid w:val="4E6E0739"/>
    <w:rsid w:val="4E7B77A5"/>
    <w:rsid w:val="4E7E3CE9"/>
    <w:rsid w:val="4E8474C2"/>
    <w:rsid w:val="4E966C49"/>
    <w:rsid w:val="4E9C568F"/>
    <w:rsid w:val="4E9E5639"/>
    <w:rsid w:val="4EB96B45"/>
    <w:rsid w:val="4EC372F3"/>
    <w:rsid w:val="4EE314A3"/>
    <w:rsid w:val="4EE42792"/>
    <w:rsid w:val="4EE51D6A"/>
    <w:rsid w:val="4EF25A79"/>
    <w:rsid w:val="4F0A4F22"/>
    <w:rsid w:val="4F0E4888"/>
    <w:rsid w:val="4F131F35"/>
    <w:rsid w:val="4F1634D1"/>
    <w:rsid w:val="4F1869D4"/>
    <w:rsid w:val="4F1E6A20"/>
    <w:rsid w:val="4F294E48"/>
    <w:rsid w:val="4F2B02D2"/>
    <w:rsid w:val="4F310701"/>
    <w:rsid w:val="4F380818"/>
    <w:rsid w:val="4F3A1D8C"/>
    <w:rsid w:val="4F3D70A6"/>
    <w:rsid w:val="4F3E1267"/>
    <w:rsid w:val="4F4B2F18"/>
    <w:rsid w:val="4F516147"/>
    <w:rsid w:val="4F5C2AB7"/>
    <w:rsid w:val="4F693DE7"/>
    <w:rsid w:val="4F7F71B4"/>
    <w:rsid w:val="4F8D0CDD"/>
    <w:rsid w:val="4FA459C9"/>
    <w:rsid w:val="4FAF0766"/>
    <w:rsid w:val="4FB01626"/>
    <w:rsid w:val="4FBA6948"/>
    <w:rsid w:val="4FD95020"/>
    <w:rsid w:val="4FDE46D3"/>
    <w:rsid w:val="4FF36959"/>
    <w:rsid w:val="4FF37764"/>
    <w:rsid w:val="4FFD05E3"/>
    <w:rsid w:val="50005D49"/>
    <w:rsid w:val="50025A0C"/>
    <w:rsid w:val="50182CF3"/>
    <w:rsid w:val="503D7338"/>
    <w:rsid w:val="505F0E2E"/>
    <w:rsid w:val="505F6458"/>
    <w:rsid w:val="508233E4"/>
    <w:rsid w:val="50850D04"/>
    <w:rsid w:val="50870A80"/>
    <w:rsid w:val="508C2CB2"/>
    <w:rsid w:val="50967758"/>
    <w:rsid w:val="509C400E"/>
    <w:rsid w:val="509C7DFC"/>
    <w:rsid w:val="50AE22ED"/>
    <w:rsid w:val="50DB26D2"/>
    <w:rsid w:val="50DF0850"/>
    <w:rsid w:val="50E02F97"/>
    <w:rsid w:val="50E161BC"/>
    <w:rsid w:val="50E442C6"/>
    <w:rsid w:val="50F412DC"/>
    <w:rsid w:val="50FB1AC0"/>
    <w:rsid w:val="51064AB1"/>
    <w:rsid w:val="510734C7"/>
    <w:rsid w:val="51100A1F"/>
    <w:rsid w:val="51111B08"/>
    <w:rsid w:val="5112678F"/>
    <w:rsid w:val="511933EC"/>
    <w:rsid w:val="511A37AA"/>
    <w:rsid w:val="511C2DB0"/>
    <w:rsid w:val="511D2CEB"/>
    <w:rsid w:val="51266007"/>
    <w:rsid w:val="5134005C"/>
    <w:rsid w:val="513606E9"/>
    <w:rsid w:val="513B5867"/>
    <w:rsid w:val="516D139D"/>
    <w:rsid w:val="5173582B"/>
    <w:rsid w:val="51777CCA"/>
    <w:rsid w:val="518114CD"/>
    <w:rsid w:val="51837707"/>
    <w:rsid w:val="5189520E"/>
    <w:rsid w:val="518C5BE1"/>
    <w:rsid w:val="518E40DE"/>
    <w:rsid w:val="519512D8"/>
    <w:rsid w:val="519805C3"/>
    <w:rsid w:val="519B347F"/>
    <w:rsid w:val="51B74BC6"/>
    <w:rsid w:val="51BB10EA"/>
    <w:rsid w:val="51BB2E96"/>
    <w:rsid w:val="51BB7AB9"/>
    <w:rsid w:val="51D77AB5"/>
    <w:rsid w:val="51DF6206"/>
    <w:rsid w:val="51E4003B"/>
    <w:rsid w:val="51EB0F44"/>
    <w:rsid w:val="51EC153D"/>
    <w:rsid w:val="51EC7777"/>
    <w:rsid w:val="51F02207"/>
    <w:rsid w:val="51F24B9C"/>
    <w:rsid w:val="51F53C68"/>
    <w:rsid w:val="51FD4ABC"/>
    <w:rsid w:val="52057B43"/>
    <w:rsid w:val="520C2D5F"/>
    <w:rsid w:val="5216679D"/>
    <w:rsid w:val="521F2DEA"/>
    <w:rsid w:val="522A769E"/>
    <w:rsid w:val="523C1897"/>
    <w:rsid w:val="523F76A2"/>
    <w:rsid w:val="524A2AC9"/>
    <w:rsid w:val="525B288B"/>
    <w:rsid w:val="5283316D"/>
    <w:rsid w:val="52847557"/>
    <w:rsid w:val="5292555D"/>
    <w:rsid w:val="52A91E1B"/>
    <w:rsid w:val="52B0193D"/>
    <w:rsid w:val="52B13837"/>
    <w:rsid w:val="52B6752F"/>
    <w:rsid w:val="52C906B4"/>
    <w:rsid w:val="52CF5042"/>
    <w:rsid w:val="52D53325"/>
    <w:rsid w:val="52F749BC"/>
    <w:rsid w:val="52FD4DAA"/>
    <w:rsid w:val="530028C4"/>
    <w:rsid w:val="530F2B07"/>
    <w:rsid w:val="531B45E5"/>
    <w:rsid w:val="53415CAD"/>
    <w:rsid w:val="534A1D91"/>
    <w:rsid w:val="534C3D5B"/>
    <w:rsid w:val="534C4C84"/>
    <w:rsid w:val="535D3873"/>
    <w:rsid w:val="535F0A8B"/>
    <w:rsid w:val="537214A4"/>
    <w:rsid w:val="53894F6C"/>
    <w:rsid w:val="538E2A85"/>
    <w:rsid w:val="53A65F46"/>
    <w:rsid w:val="53AF56FD"/>
    <w:rsid w:val="53C71723"/>
    <w:rsid w:val="53CB1124"/>
    <w:rsid w:val="53CE1EC3"/>
    <w:rsid w:val="53E126F6"/>
    <w:rsid w:val="53E6643F"/>
    <w:rsid w:val="53ED0658"/>
    <w:rsid w:val="53EE6BC1"/>
    <w:rsid w:val="53F54C82"/>
    <w:rsid w:val="53F70AD0"/>
    <w:rsid w:val="53F8232F"/>
    <w:rsid w:val="53FA4CF8"/>
    <w:rsid w:val="54177EC5"/>
    <w:rsid w:val="541B3A65"/>
    <w:rsid w:val="542F2945"/>
    <w:rsid w:val="54344EED"/>
    <w:rsid w:val="543D276C"/>
    <w:rsid w:val="5441431C"/>
    <w:rsid w:val="544E7B7F"/>
    <w:rsid w:val="545F3CDD"/>
    <w:rsid w:val="54646BBF"/>
    <w:rsid w:val="547949B4"/>
    <w:rsid w:val="548A49C6"/>
    <w:rsid w:val="549F5FC9"/>
    <w:rsid w:val="54AB277B"/>
    <w:rsid w:val="54CD2943"/>
    <w:rsid w:val="54D2412E"/>
    <w:rsid w:val="54D948F4"/>
    <w:rsid w:val="54DD5F5F"/>
    <w:rsid w:val="54E53AFB"/>
    <w:rsid w:val="550B6D41"/>
    <w:rsid w:val="55136734"/>
    <w:rsid w:val="55193494"/>
    <w:rsid w:val="55403CA1"/>
    <w:rsid w:val="554B3B5E"/>
    <w:rsid w:val="555E3026"/>
    <w:rsid w:val="55751A74"/>
    <w:rsid w:val="55885B9F"/>
    <w:rsid w:val="5589787B"/>
    <w:rsid w:val="558A1B11"/>
    <w:rsid w:val="55957700"/>
    <w:rsid w:val="559B4B26"/>
    <w:rsid w:val="55B1434A"/>
    <w:rsid w:val="55BB759B"/>
    <w:rsid w:val="55C425C2"/>
    <w:rsid w:val="55E16D87"/>
    <w:rsid w:val="55E30CB3"/>
    <w:rsid w:val="55EE4C56"/>
    <w:rsid w:val="55FB55C5"/>
    <w:rsid w:val="560E29AA"/>
    <w:rsid w:val="561A2AA7"/>
    <w:rsid w:val="561D553B"/>
    <w:rsid w:val="561F63BF"/>
    <w:rsid w:val="5627572A"/>
    <w:rsid w:val="5636708F"/>
    <w:rsid w:val="56424A68"/>
    <w:rsid w:val="56431446"/>
    <w:rsid w:val="564A221E"/>
    <w:rsid w:val="564E6032"/>
    <w:rsid w:val="5653600F"/>
    <w:rsid w:val="565C15FA"/>
    <w:rsid w:val="566821D4"/>
    <w:rsid w:val="566B153D"/>
    <w:rsid w:val="567A52DE"/>
    <w:rsid w:val="567E77F6"/>
    <w:rsid w:val="568B2C88"/>
    <w:rsid w:val="56926FCD"/>
    <w:rsid w:val="569A4DDE"/>
    <w:rsid w:val="56A02CA6"/>
    <w:rsid w:val="56CB744A"/>
    <w:rsid w:val="56D42182"/>
    <w:rsid w:val="56E31162"/>
    <w:rsid w:val="56E83AAF"/>
    <w:rsid w:val="56E856F2"/>
    <w:rsid w:val="56EC57F7"/>
    <w:rsid w:val="56EE2DAC"/>
    <w:rsid w:val="56F35EC1"/>
    <w:rsid w:val="56F9306C"/>
    <w:rsid w:val="56F94F52"/>
    <w:rsid w:val="56FB3787"/>
    <w:rsid w:val="56FC7846"/>
    <w:rsid w:val="572839A9"/>
    <w:rsid w:val="57372127"/>
    <w:rsid w:val="573B7A5A"/>
    <w:rsid w:val="573F50F7"/>
    <w:rsid w:val="574C567E"/>
    <w:rsid w:val="5756111B"/>
    <w:rsid w:val="576C14BD"/>
    <w:rsid w:val="5778511F"/>
    <w:rsid w:val="578B6FB9"/>
    <w:rsid w:val="57931701"/>
    <w:rsid w:val="57A6245A"/>
    <w:rsid w:val="57A74BF9"/>
    <w:rsid w:val="57AC0592"/>
    <w:rsid w:val="57BE68AA"/>
    <w:rsid w:val="57D011C0"/>
    <w:rsid w:val="57FD345B"/>
    <w:rsid w:val="580C63A5"/>
    <w:rsid w:val="581225EC"/>
    <w:rsid w:val="58155B87"/>
    <w:rsid w:val="5822508B"/>
    <w:rsid w:val="58360B36"/>
    <w:rsid w:val="583B103D"/>
    <w:rsid w:val="583F7D80"/>
    <w:rsid w:val="58537608"/>
    <w:rsid w:val="58627B7D"/>
    <w:rsid w:val="58670D41"/>
    <w:rsid w:val="58772B3D"/>
    <w:rsid w:val="587E50C4"/>
    <w:rsid w:val="58860AD6"/>
    <w:rsid w:val="588B05D0"/>
    <w:rsid w:val="589A43CC"/>
    <w:rsid w:val="589C07F4"/>
    <w:rsid w:val="58A15BF6"/>
    <w:rsid w:val="58B10C07"/>
    <w:rsid w:val="58C63C68"/>
    <w:rsid w:val="58CB7914"/>
    <w:rsid w:val="58DE7A9A"/>
    <w:rsid w:val="58E002CF"/>
    <w:rsid w:val="58EA204C"/>
    <w:rsid w:val="58ED73B6"/>
    <w:rsid w:val="591470C9"/>
    <w:rsid w:val="5926565E"/>
    <w:rsid w:val="59385C52"/>
    <w:rsid w:val="59422A90"/>
    <w:rsid w:val="595402B8"/>
    <w:rsid w:val="595713EF"/>
    <w:rsid w:val="59580581"/>
    <w:rsid w:val="597162CA"/>
    <w:rsid w:val="59745880"/>
    <w:rsid w:val="597F0E25"/>
    <w:rsid w:val="59927AB8"/>
    <w:rsid w:val="59944FA9"/>
    <w:rsid w:val="59995169"/>
    <w:rsid w:val="599A2D0A"/>
    <w:rsid w:val="59A71629"/>
    <w:rsid w:val="59AD5D9E"/>
    <w:rsid w:val="59AF01C1"/>
    <w:rsid w:val="59B556B8"/>
    <w:rsid w:val="59BA2608"/>
    <w:rsid w:val="59BE3A27"/>
    <w:rsid w:val="59DB2B27"/>
    <w:rsid w:val="59DD570D"/>
    <w:rsid w:val="59F00264"/>
    <w:rsid w:val="5A0015F3"/>
    <w:rsid w:val="5A0C06CB"/>
    <w:rsid w:val="5A1B35E9"/>
    <w:rsid w:val="5A1D5B0A"/>
    <w:rsid w:val="5A25195E"/>
    <w:rsid w:val="5A3A5073"/>
    <w:rsid w:val="5A7476F4"/>
    <w:rsid w:val="5A831E3D"/>
    <w:rsid w:val="5A972004"/>
    <w:rsid w:val="5A974F35"/>
    <w:rsid w:val="5AA404A1"/>
    <w:rsid w:val="5ABA74F6"/>
    <w:rsid w:val="5ABE2748"/>
    <w:rsid w:val="5AD5276F"/>
    <w:rsid w:val="5AE53210"/>
    <w:rsid w:val="5AE76118"/>
    <w:rsid w:val="5AEB58A3"/>
    <w:rsid w:val="5AF128C0"/>
    <w:rsid w:val="5AF15538"/>
    <w:rsid w:val="5AF251E8"/>
    <w:rsid w:val="5B1433B1"/>
    <w:rsid w:val="5B1A0ABF"/>
    <w:rsid w:val="5B1E5BA2"/>
    <w:rsid w:val="5B3F2456"/>
    <w:rsid w:val="5B517F4C"/>
    <w:rsid w:val="5B634C18"/>
    <w:rsid w:val="5B70585B"/>
    <w:rsid w:val="5B7114D5"/>
    <w:rsid w:val="5B751975"/>
    <w:rsid w:val="5B8404AA"/>
    <w:rsid w:val="5B8C4B3A"/>
    <w:rsid w:val="5B975D90"/>
    <w:rsid w:val="5B9A723E"/>
    <w:rsid w:val="5BB12E92"/>
    <w:rsid w:val="5BB26726"/>
    <w:rsid w:val="5BB47AC3"/>
    <w:rsid w:val="5BBC75A4"/>
    <w:rsid w:val="5BC8175A"/>
    <w:rsid w:val="5BD1219E"/>
    <w:rsid w:val="5BD3501A"/>
    <w:rsid w:val="5BEB0156"/>
    <w:rsid w:val="5BFF5CEE"/>
    <w:rsid w:val="5C06071F"/>
    <w:rsid w:val="5C062F2E"/>
    <w:rsid w:val="5C0A4736"/>
    <w:rsid w:val="5C0A4CDA"/>
    <w:rsid w:val="5C1052B5"/>
    <w:rsid w:val="5C112D6F"/>
    <w:rsid w:val="5C14118E"/>
    <w:rsid w:val="5C235F50"/>
    <w:rsid w:val="5C2F7E3F"/>
    <w:rsid w:val="5C5477DD"/>
    <w:rsid w:val="5C5B0B6B"/>
    <w:rsid w:val="5C5C4D19"/>
    <w:rsid w:val="5C61311E"/>
    <w:rsid w:val="5C725EEC"/>
    <w:rsid w:val="5C81227C"/>
    <w:rsid w:val="5C8745A3"/>
    <w:rsid w:val="5C91458D"/>
    <w:rsid w:val="5C9834F7"/>
    <w:rsid w:val="5CAA6382"/>
    <w:rsid w:val="5CAB38A1"/>
    <w:rsid w:val="5CC00F03"/>
    <w:rsid w:val="5CC47CC0"/>
    <w:rsid w:val="5CDC60D7"/>
    <w:rsid w:val="5CFB43E7"/>
    <w:rsid w:val="5CFE45D1"/>
    <w:rsid w:val="5D02548B"/>
    <w:rsid w:val="5D031718"/>
    <w:rsid w:val="5D0B60B1"/>
    <w:rsid w:val="5D111C3D"/>
    <w:rsid w:val="5D116E60"/>
    <w:rsid w:val="5D1256CE"/>
    <w:rsid w:val="5D18187C"/>
    <w:rsid w:val="5D2178F8"/>
    <w:rsid w:val="5D484AD4"/>
    <w:rsid w:val="5D4E5840"/>
    <w:rsid w:val="5D546BB9"/>
    <w:rsid w:val="5D6A375C"/>
    <w:rsid w:val="5D705F18"/>
    <w:rsid w:val="5D731CE1"/>
    <w:rsid w:val="5D926480"/>
    <w:rsid w:val="5D9836E7"/>
    <w:rsid w:val="5D9E3405"/>
    <w:rsid w:val="5DAB5215"/>
    <w:rsid w:val="5DBE42CF"/>
    <w:rsid w:val="5DBE7604"/>
    <w:rsid w:val="5DD1377F"/>
    <w:rsid w:val="5DD76917"/>
    <w:rsid w:val="5DE13369"/>
    <w:rsid w:val="5DE75ABE"/>
    <w:rsid w:val="5DF22A79"/>
    <w:rsid w:val="5DF23A3E"/>
    <w:rsid w:val="5DF6027F"/>
    <w:rsid w:val="5E020E13"/>
    <w:rsid w:val="5E1115D3"/>
    <w:rsid w:val="5E116577"/>
    <w:rsid w:val="5E176F6C"/>
    <w:rsid w:val="5E1C0B81"/>
    <w:rsid w:val="5E29114E"/>
    <w:rsid w:val="5E2A2EEB"/>
    <w:rsid w:val="5E331DA0"/>
    <w:rsid w:val="5E33307F"/>
    <w:rsid w:val="5E394A5F"/>
    <w:rsid w:val="5E3D309C"/>
    <w:rsid w:val="5E401527"/>
    <w:rsid w:val="5E47584B"/>
    <w:rsid w:val="5E491D4A"/>
    <w:rsid w:val="5E5B0DC6"/>
    <w:rsid w:val="5E5B7DD0"/>
    <w:rsid w:val="5E5C6533"/>
    <w:rsid w:val="5E657319"/>
    <w:rsid w:val="5E684311"/>
    <w:rsid w:val="5E693A13"/>
    <w:rsid w:val="5E733018"/>
    <w:rsid w:val="5E9733D8"/>
    <w:rsid w:val="5E9C259A"/>
    <w:rsid w:val="5EA44A4C"/>
    <w:rsid w:val="5EC61214"/>
    <w:rsid w:val="5ECF7453"/>
    <w:rsid w:val="5ED02900"/>
    <w:rsid w:val="5EE02BC7"/>
    <w:rsid w:val="5EE25574"/>
    <w:rsid w:val="5F133B2B"/>
    <w:rsid w:val="5F2266DE"/>
    <w:rsid w:val="5F2C5C42"/>
    <w:rsid w:val="5F2E2567"/>
    <w:rsid w:val="5F305F38"/>
    <w:rsid w:val="5F4034B7"/>
    <w:rsid w:val="5F5521EA"/>
    <w:rsid w:val="5F63316A"/>
    <w:rsid w:val="5F666E25"/>
    <w:rsid w:val="5F7C1524"/>
    <w:rsid w:val="5F89047F"/>
    <w:rsid w:val="5F944AC0"/>
    <w:rsid w:val="5FA906B4"/>
    <w:rsid w:val="5FB23309"/>
    <w:rsid w:val="5FB67C6D"/>
    <w:rsid w:val="5FC758E9"/>
    <w:rsid w:val="5FC8780D"/>
    <w:rsid w:val="5FCC1F73"/>
    <w:rsid w:val="5FD02D75"/>
    <w:rsid w:val="5FD50C35"/>
    <w:rsid w:val="5FE00D38"/>
    <w:rsid w:val="5FE30B6D"/>
    <w:rsid w:val="5FE93541"/>
    <w:rsid w:val="5FF17AF7"/>
    <w:rsid w:val="5FF24D58"/>
    <w:rsid w:val="5FFC1EC4"/>
    <w:rsid w:val="600672DD"/>
    <w:rsid w:val="60082E68"/>
    <w:rsid w:val="60332E91"/>
    <w:rsid w:val="60507226"/>
    <w:rsid w:val="6055466C"/>
    <w:rsid w:val="605E02E6"/>
    <w:rsid w:val="608332A9"/>
    <w:rsid w:val="60944EB4"/>
    <w:rsid w:val="60B757B4"/>
    <w:rsid w:val="60BA5511"/>
    <w:rsid w:val="60C342F7"/>
    <w:rsid w:val="60C677C2"/>
    <w:rsid w:val="60DF1D6B"/>
    <w:rsid w:val="60F55F3E"/>
    <w:rsid w:val="60FC2A56"/>
    <w:rsid w:val="611134A9"/>
    <w:rsid w:val="61135EB8"/>
    <w:rsid w:val="611A604D"/>
    <w:rsid w:val="61210AA3"/>
    <w:rsid w:val="612236EC"/>
    <w:rsid w:val="61252DAF"/>
    <w:rsid w:val="61257203"/>
    <w:rsid w:val="61503EF7"/>
    <w:rsid w:val="61560F64"/>
    <w:rsid w:val="61663146"/>
    <w:rsid w:val="616B35FF"/>
    <w:rsid w:val="617007F7"/>
    <w:rsid w:val="6191012D"/>
    <w:rsid w:val="619B78D9"/>
    <w:rsid w:val="619E7FBB"/>
    <w:rsid w:val="61A747BC"/>
    <w:rsid w:val="61B111CE"/>
    <w:rsid w:val="61B31C71"/>
    <w:rsid w:val="61B4179E"/>
    <w:rsid w:val="61DF1422"/>
    <w:rsid w:val="61E647AC"/>
    <w:rsid w:val="62010C3C"/>
    <w:rsid w:val="62050530"/>
    <w:rsid w:val="620C3034"/>
    <w:rsid w:val="620C4D33"/>
    <w:rsid w:val="62206498"/>
    <w:rsid w:val="62261C1B"/>
    <w:rsid w:val="622D4D58"/>
    <w:rsid w:val="62331103"/>
    <w:rsid w:val="623E513D"/>
    <w:rsid w:val="624C1682"/>
    <w:rsid w:val="6254684C"/>
    <w:rsid w:val="626A7384"/>
    <w:rsid w:val="628C5F22"/>
    <w:rsid w:val="62AE51F6"/>
    <w:rsid w:val="62B45D2E"/>
    <w:rsid w:val="62CC7C26"/>
    <w:rsid w:val="62F15E4D"/>
    <w:rsid w:val="62FA5D5C"/>
    <w:rsid w:val="63033AF2"/>
    <w:rsid w:val="6308265A"/>
    <w:rsid w:val="6315416A"/>
    <w:rsid w:val="63164EEE"/>
    <w:rsid w:val="631D021E"/>
    <w:rsid w:val="63215412"/>
    <w:rsid w:val="632C5010"/>
    <w:rsid w:val="632F2164"/>
    <w:rsid w:val="63347599"/>
    <w:rsid w:val="633B5253"/>
    <w:rsid w:val="634C74DF"/>
    <w:rsid w:val="634D609D"/>
    <w:rsid w:val="635279F5"/>
    <w:rsid w:val="63902488"/>
    <w:rsid w:val="639B3089"/>
    <w:rsid w:val="639B524A"/>
    <w:rsid w:val="63AF100E"/>
    <w:rsid w:val="63B84571"/>
    <w:rsid w:val="63C76F21"/>
    <w:rsid w:val="63CA61F2"/>
    <w:rsid w:val="63D464D8"/>
    <w:rsid w:val="63D84775"/>
    <w:rsid w:val="63EF49BB"/>
    <w:rsid w:val="63F06045"/>
    <w:rsid w:val="63F72F82"/>
    <w:rsid w:val="6405457E"/>
    <w:rsid w:val="640C75F9"/>
    <w:rsid w:val="64130B87"/>
    <w:rsid w:val="6416125B"/>
    <w:rsid w:val="642C6F17"/>
    <w:rsid w:val="642E790A"/>
    <w:rsid w:val="64324F2C"/>
    <w:rsid w:val="64502F80"/>
    <w:rsid w:val="6453442D"/>
    <w:rsid w:val="645C124A"/>
    <w:rsid w:val="646466F0"/>
    <w:rsid w:val="6477050C"/>
    <w:rsid w:val="648D27DA"/>
    <w:rsid w:val="6494233E"/>
    <w:rsid w:val="64A655BF"/>
    <w:rsid w:val="64AE38E6"/>
    <w:rsid w:val="64B10401"/>
    <w:rsid w:val="64B17B9B"/>
    <w:rsid w:val="64B343F0"/>
    <w:rsid w:val="64BD1202"/>
    <w:rsid w:val="64BE0C10"/>
    <w:rsid w:val="64E01E8E"/>
    <w:rsid w:val="64E1406F"/>
    <w:rsid w:val="64EA3900"/>
    <w:rsid w:val="64EF1A70"/>
    <w:rsid w:val="64F964D3"/>
    <w:rsid w:val="65080E4C"/>
    <w:rsid w:val="650E70C3"/>
    <w:rsid w:val="651518E0"/>
    <w:rsid w:val="65206A65"/>
    <w:rsid w:val="65273920"/>
    <w:rsid w:val="65376E3E"/>
    <w:rsid w:val="653A45E5"/>
    <w:rsid w:val="653C2A02"/>
    <w:rsid w:val="653E1E3D"/>
    <w:rsid w:val="65425597"/>
    <w:rsid w:val="654724B3"/>
    <w:rsid w:val="65570D19"/>
    <w:rsid w:val="655F6337"/>
    <w:rsid w:val="6562360A"/>
    <w:rsid w:val="65660CAD"/>
    <w:rsid w:val="656767D3"/>
    <w:rsid w:val="656B315F"/>
    <w:rsid w:val="65875064"/>
    <w:rsid w:val="658C0243"/>
    <w:rsid w:val="659D2F72"/>
    <w:rsid w:val="65A31BCC"/>
    <w:rsid w:val="65A6425C"/>
    <w:rsid w:val="65AC4A59"/>
    <w:rsid w:val="65B54EF2"/>
    <w:rsid w:val="65BB1958"/>
    <w:rsid w:val="65BD3D1C"/>
    <w:rsid w:val="65C717C5"/>
    <w:rsid w:val="65DB7517"/>
    <w:rsid w:val="65EF2736"/>
    <w:rsid w:val="65FC6B03"/>
    <w:rsid w:val="661A3351"/>
    <w:rsid w:val="661F70AE"/>
    <w:rsid w:val="662627B0"/>
    <w:rsid w:val="66620AF0"/>
    <w:rsid w:val="6664046B"/>
    <w:rsid w:val="666F36C4"/>
    <w:rsid w:val="66751F24"/>
    <w:rsid w:val="667740A0"/>
    <w:rsid w:val="6685489C"/>
    <w:rsid w:val="6689767D"/>
    <w:rsid w:val="669413C9"/>
    <w:rsid w:val="66957775"/>
    <w:rsid w:val="66BC2B4E"/>
    <w:rsid w:val="66C62F6A"/>
    <w:rsid w:val="66C8504F"/>
    <w:rsid w:val="66E0468A"/>
    <w:rsid w:val="66E725EF"/>
    <w:rsid w:val="67136834"/>
    <w:rsid w:val="671A60A0"/>
    <w:rsid w:val="672108CE"/>
    <w:rsid w:val="672C5EBB"/>
    <w:rsid w:val="673F43B8"/>
    <w:rsid w:val="67405453"/>
    <w:rsid w:val="674262F0"/>
    <w:rsid w:val="67463A2E"/>
    <w:rsid w:val="674F751F"/>
    <w:rsid w:val="675101FA"/>
    <w:rsid w:val="675F1839"/>
    <w:rsid w:val="676030C8"/>
    <w:rsid w:val="67657331"/>
    <w:rsid w:val="676D22B6"/>
    <w:rsid w:val="677E1FD8"/>
    <w:rsid w:val="678F7322"/>
    <w:rsid w:val="67957DFD"/>
    <w:rsid w:val="679D472E"/>
    <w:rsid w:val="67A02914"/>
    <w:rsid w:val="67AA29A7"/>
    <w:rsid w:val="67AA760C"/>
    <w:rsid w:val="67B331D4"/>
    <w:rsid w:val="67B82A4E"/>
    <w:rsid w:val="67C35846"/>
    <w:rsid w:val="67DE3A99"/>
    <w:rsid w:val="67E20EE9"/>
    <w:rsid w:val="67E2419D"/>
    <w:rsid w:val="67F81964"/>
    <w:rsid w:val="680C644C"/>
    <w:rsid w:val="6811678C"/>
    <w:rsid w:val="681903F3"/>
    <w:rsid w:val="68345C8A"/>
    <w:rsid w:val="683C280D"/>
    <w:rsid w:val="6842287E"/>
    <w:rsid w:val="68440404"/>
    <w:rsid w:val="68453255"/>
    <w:rsid w:val="684C1259"/>
    <w:rsid w:val="684E794F"/>
    <w:rsid w:val="68541AF0"/>
    <w:rsid w:val="685C7E89"/>
    <w:rsid w:val="686A4D9D"/>
    <w:rsid w:val="6874621D"/>
    <w:rsid w:val="68953657"/>
    <w:rsid w:val="689C475F"/>
    <w:rsid w:val="689C69F1"/>
    <w:rsid w:val="68AE3440"/>
    <w:rsid w:val="68AE66CD"/>
    <w:rsid w:val="68BA6216"/>
    <w:rsid w:val="68BC3108"/>
    <w:rsid w:val="68BE07CF"/>
    <w:rsid w:val="68C034B0"/>
    <w:rsid w:val="68C30617"/>
    <w:rsid w:val="68D51CA5"/>
    <w:rsid w:val="68E31062"/>
    <w:rsid w:val="69046762"/>
    <w:rsid w:val="69171476"/>
    <w:rsid w:val="691722BE"/>
    <w:rsid w:val="691B3B5C"/>
    <w:rsid w:val="692D2D8D"/>
    <w:rsid w:val="69303B72"/>
    <w:rsid w:val="693D33F0"/>
    <w:rsid w:val="69435ADF"/>
    <w:rsid w:val="695D489D"/>
    <w:rsid w:val="696075A1"/>
    <w:rsid w:val="696C748E"/>
    <w:rsid w:val="696E34CA"/>
    <w:rsid w:val="696F07AD"/>
    <w:rsid w:val="696F20FA"/>
    <w:rsid w:val="69744A1E"/>
    <w:rsid w:val="69747710"/>
    <w:rsid w:val="697670B8"/>
    <w:rsid w:val="698335AC"/>
    <w:rsid w:val="698460FC"/>
    <w:rsid w:val="6985242A"/>
    <w:rsid w:val="698718B2"/>
    <w:rsid w:val="699E2535"/>
    <w:rsid w:val="69A53B2F"/>
    <w:rsid w:val="69B53E3F"/>
    <w:rsid w:val="69C01D1E"/>
    <w:rsid w:val="69C01D3F"/>
    <w:rsid w:val="69C45FA2"/>
    <w:rsid w:val="69C53915"/>
    <w:rsid w:val="69D0429B"/>
    <w:rsid w:val="69D43C90"/>
    <w:rsid w:val="69E421A0"/>
    <w:rsid w:val="69EE301A"/>
    <w:rsid w:val="69F03A3F"/>
    <w:rsid w:val="69F31477"/>
    <w:rsid w:val="69F450F7"/>
    <w:rsid w:val="69F60360"/>
    <w:rsid w:val="6A0307BF"/>
    <w:rsid w:val="6A114F5F"/>
    <w:rsid w:val="6A18009C"/>
    <w:rsid w:val="6A1F36EF"/>
    <w:rsid w:val="6A216428"/>
    <w:rsid w:val="6A2536B3"/>
    <w:rsid w:val="6A2C32C4"/>
    <w:rsid w:val="6A2E73C3"/>
    <w:rsid w:val="6A4D4044"/>
    <w:rsid w:val="6A5067B6"/>
    <w:rsid w:val="6A603BE9"/>
    <w:rsid w:val="6A627569"/>
    <w:rsid w:val="6A8F3072"/>
    <w:rsid w:val="6A9929F4"/>
    <w:rsid w:val="6AB73B1D"/>
    <w:rsid w:val="6AB73D90"/>
    <w:rsid w:val="6AC61182"/>
    <w:rsid w:val="6ACE36D7"/>
    <w:rsid w:val="6ACF0A79"/>
    <w:rsid w:val="6AD05355"/>
    <w:rsid w:val="6AE6270C"/>
    <w:rsid w:val="6B1C5550"/>
    <w:rsid w:val="6B264CD6"/>
    <w:rsid w:val="6B2E1401"/>
    <w:rsid w:val="6B325242"/>
    <w:rsid w:val="6B374AB2"/>
    <w:rsid w:val="6B376C47"/>
    <w:rsid w:val="6B3D1532"/>
    <w:rsid w:val="6B420F02"/>
    <w:rsid w:val="6B4322EF"/>
    <w:rsid w:val="6B5F295C"/>
    <w:rsid w:val="6B776E7D"/>
    <w:rsid w:val="6B811058"/>
    <w:rsid w:val="6B961612"/>
    <w:rsid w:val="6B9C7311"/>
    <w:rsid w:val="6BA667A6"/>
    <w:rsid w:val="6BA73DCD"/>
    <w:rsid w:val="6BD34BC2"/>
    <w:rsid w:val="6BDD4A92"/>
    <w:rsid w:val="6BEF61C7"/>
    <w:rsid w:val="6BFE1D38"/>
    <w:rsid w:val="6C0F7446"/>
    <w:rsid w:val="6C2663B7"/>
    <w:rsid w:val="6C2F3A4E"/>
    <w:rsid w:val="6C4E182D"/>
    <w:rsid w:val="6C552158"/>
    <w:rsid w:val="6C552B5F"/>
    <w:rsid w:val="6C5E2163"/>
    <w:rsid w:val="6C600CDA"/>
    <w:rsid w:val="6C68552B"/>
    <w:rsid w:val="6C794400"/>
    <w:rsid w:val="6C7F253F"/>
    <w:rsid w:val="6C90497C"/>
    <w:rsid w:val="6C922F52"/>
    <w:rsid w:val="6C983ACA"/>
    <w:rsid w:val="6CA87DFD"/>
    <w:rsid w:val="6CBA368C"/>
    <w:rsid w:val="6CBC78E1"/>
    <w:rsid w:val="6CBE3AEA"/>
    <w:rsid w:val="6CD90A7F"/>
    <w:rsid w:val="6CE76615"/>
    <w:rsid w:val="6D0752D9"/>
    <w:rsid w:val="6D2271EF"/>
    <w:rsid w:val="6D2A25C0"/>
    <w:rsid w:val="6D316397"/>
    <w:rsid w:val="6D572428"/>
    <w:rsid w:val="6D5C14E2"/>
    <w:rsid w:val="6D5E7090"/>
    <w:rsid w:val="6D6519FB"/>
    <w:rsid w:val="6D7A4C49"/>
    <w:rsid w:val="6D7C0D48"/>
    <w:rsid w:val="6D853C9A"/>
    <w:rsid w:val="6D884AF9"/>
    <w:rsid w:val="6D8A228C"/>
    <w:rsid w:val="6D921C73"/>
    <w:rsid w:val="6DA13F45"/>
    <w:rsid w:val="6DA96A24"/>
    <w:rsid w:val="6DAA73FE"/>
    <w:rsid w:val="6DAC7520"/>
    <w:rsid w:val="6DB072EE"/>
    <w:rsid w:val="6DC02A2F"/>
    <w:rsid w:val="6DD3648A"/>
    <w:rsid w:val="6DD5758D"/>
    <w:rsid w:val="6DD72B83"/>
    <w:rsid w:val="6DD92AC5"/>
    <w:rsid w:val="6DDA414E"/>
    <w:rsid w:val="6DDA4AC2"/>
    <w:rsid w:val="6DE211D7"/>
    <w:rsid w:val="6DEF7793"/>
    <w:rsid w:val="6DF00CE3"/>
    <w:rsid w:val="6DF37AD6"/>
    <w:rsid w:val="6DFC19D9"/>
    <w:rsid w:val="6E014031"/>
    <w:rsid w:val="6E184A7B"/>
    <w:rsid w:val="6E1A7814"/>
    <w:rsid w:val="6E1B1628"/>
    <w:rsid w:val="6E22773B"/>
    <w:rsid w:val="6E323FC9"/>
    <w:rsid w:val="6E3437D3"/>
    <w:rsid w:val="6E443B55"/>
    <w:rsid w:val="6E461762"/>
    <w:rsid w:val="6E5518BE"/>
    <w:rsid w:val="6E5B49FB"/>
    <w:rsid w:val="6E621E45"/>
    <w:rsid w:val="6E9010D2"/>
    <w:rsid w:val="6E940801"/>
    <w:rsid w:val="6EB160E3"/>
    <w:rsid w:val="6EB4604E"/>
    <w:rsid w:val="6ECA28F1"/>
    <w:rsid w:val="6ED706C7"/>
    <w:rsid w:val="6ED749C9"/>
    <w:rsid w:val="6EDA396D"/>
    <w:rsid w:val="6EE03586"/>
    <w:rsid w:val="6EE769D7"/>
    <w:rsid w:val="6EF10318"/>
    <w:rsid w:val="6F076824"/>
    <w:rsid w:val="6F143A36"/>
    <w:rsid w:val="6F235034"/>
    <w:rsid w:val="6F2C4187"/>
    <w:rsid w:val="6F3005A2"/>
    <w:rsid w:val="6F346C31"/>
    <w:rsid w:val="6F3737A2"/>
    <w:rsid w:val="6F4A74A4"/>
    <w:rsid w:val="6F5557B4"/>
    <w:rsid w:val="6F5E47A3"/>
    <w:rsid w:val="6F7672AA"/>
    <w:rsid w:val="6F8771F3"/>
    <w:rsid w:val="6F9F431E"/>
    <w:rsid w:val="6FA268BC"/>
    <w:rsid w:val="6FAD69B1"/>
    <w:rsid w:val="6FAE57B7"/>
    <w:rsid w:val="6FB12346"/>
    <w:rsid w:val="6FB67AB5"/>
    <w:rsid w:val="6FB77615"/>
    <w:rsid w:val="6FBF489D"/>
    <w:rsid w:val="6FC14346"/>
    <w:rsid w:val="6FC53DD6"/>
    <w:rsid w:val="6FD563B1"/>
    <w:rsid w:val="6FD650CF"/>
    <w:rsid w:val="6FD67088"/>
    <w:rsid w:val="6FD82FC6"/>
    <w:rsid w:val="6FD86A6D"/>
    <w:rsid w:val="6FE54466"/>
    <w:rsid w:val="6FF47885"/>
    <w:rsid w:val="6FFA119E"/>
    <w:rsid w:val="700040FB"/>
    <w:rsid w:val="7003534A"/>
    <w:rsid w:val="7003710C"/>
    <w:rsid w:val="700963B5"/>
    <w:rsid w:val="701E4F19"/>
    <w:rsid w:val="702415FF"/>
    <w:rsid w:val="702459EC"/>
    <w:rsid w:val="70251B0E"/>
    <w:rsid w:val="70256C71"/>
    <w:rsid w:val="704D5DCD"/>
    <w:rsid w:val="70567B70"/>
    <w:rsid w:val="70573B9F"/>
    <w:rsid w:val="70597200"/>
    <w:rsid w:val="70643C5F"/>
    <w:rsid w:val="70666BBF"/>
    <w:rsid w:val="706C6102"/>
    <w:rsid w:val="70714EA9"/>
    <w:rsid w:val="7073427E"/>
    <w:rsid w:val="707C4B24"/>
    <w:rsid w:val="708E2EF5"/>
    <w:rsid w:val="70974410"/>
    <w:rsid w:val="70A9313E"/>
    <w:rsid w:val="70AE3508"/>
    <w:rsid w:val="70B2599E"/>
    <w:rsid w:val="70B76F01"/>
    <w:rsid w:val="70BE71A8"/>
    <w:rsid w:val="70C3526D"/>
    <w:rsid w:val="70DB6936"/>
    <w:rsid w:val="70DE2061"/>
    <w:rsid w:val="70E75BC9"/>
    <w:rsid w:val="70F54D8C"/>
    <w:rsid w:val="7104220F"/>
    <w:rsid w:val="71107D1F"/>
    <w:rsid w:val="71123A97"/>
    <w:rsid w:val="71125845"/>
    <w:rsid w:val="711D6000"/>
    <w:rsid w:val="712C5A9A"/>
    <w:rsid w:val="712E1FE4"/>
    <w:rsid w:val="713C1DB4"/>
    <w:rsid w:val="71494703"/>
    <w:rsid w:val="714A6275"/>
    <w:rsid w:val="71530958"/>
    <w:rsid w:val="71531542"/>
    <w:rsid w:val="7164006A"/>
    <w:rsid w:val="716606CE"/>
    <w:rsid w:val="716943CF"/>
    <w:rsid w:val="716E2116"/>
    <w:rsid w:val="717300E1"/>
    <w:rsid w:val="71765292"/>
    <w:rsid w:val="717A7190"/>
    <w:rsid w:val="717C4B93"/>
    <w:rsid w:val="718F50E7"/>
    <w:rsid w:val="71913861"/>
    <w:rsid w:val="719F0F0E"/>
    <w:rsid w:val="71A54C8A"/>
    <w:rsid w:val="71A82806"/>
    <w:rsid w:val="71AB116B"/>
    <w:rsid w:val="71B372B6"/>
    <w:rsid w:val="71BA551E"/>
    <w:rsid w:val="71C40EDF"/>
    <w:rsid w:val="71C64881"/>
    <w:rsid w:val="71CA4040"/>
    <w:rsid w:val="71CF69E7"/>
    <w:rsid w:val="71CF78AB"/>
    <w:rsid w:val="71D112DF"/>
    <w:rsid w:val="71D7083C"/>
    <w:rsid w:val="71D7180A"/>
    <w:rsid w:val="71E41977"/>
    <w:rsid w:val="7209320A"/>
    <w:rsid w:val="720A4A86"/>
    <w:rsid w:val="720E4DBA"/>
    <w:rsid w:val="722515A8"/>
    <w:rsid w:val="72320DBD"/>
    <w:rsid w:val="7232276A"/>
    <w:rsid w:val="72425842"/>
    <w:rsid w:val="7257401A"/>
    <w:rsid w:val="7262131A"/>
    <w:rsid w:val="726522EC"/>
    <w:rsid w:val="726F1869"/>
    <w:rsid w:val="727F6FB5"/>
    <w:rsid w:val="728A291F"/>
    <w:rsid w:val="728C0BD0"/>
    <w:rsid w:val="728D5A67"/>
    <w:rsid w:val="728E539F"/>
    <w:rsid w:val="72961CBB"/>
    <w:rsid w:val="72976F01"/>
    <w:rsid w:val="729B6D42"/>
    <w:rsid w:val="729F135A"/>
    <w:rsid w:val="72A42601"/>
    <w:rsid w:val="72B92969"/>
    <w:rsid w:val="72C04F05"/>
    <w:rsid w:val="72CB03A1"/>
    <w:rsid w:val="72E32FF6"/>
    <w:rsid w:val="72F3336A"/>
    <w:rsid w:val="72F35D67"/>
    <w:rsid w:val="731735E6"/>
    <w:rsid w:val="731F6804"/>
    <w:rsid w:val="7320503C"/>
    <w:rsid w:val="732659B6"/>
    <w:rsid w:val="73285ED9"/>
    <w:rsid w:val="7329156C"/>
    <w:rsid w:val="73436AE0"/>
    <w:rsid w:val="734C06BF"/>
    <w:rsid w:val="73513115"/>
    <w:rsid w:val="73585A7E"/>
    <w:rsid w:val="737A4395"/>
    <w:rsid w:val="73893B7C"/>
    <w:rsid w:val="73A7531A"/>
    <w:rsid w:val="73B34D59"/>
    <w:rsid w:val="73C17196"/>
    <w:rsid w:val="73C43C42"/>
    <w:rsid w:val="73C52EED"/>
    <w:rsid w:val="73C61BA7"/>
    <w:rsid w:val="73C83EA5"/>
    <w:rsid w:val="73E21E46"/>
    <w:rsid w:val="73ED07EB"/>
    <w:rsid w:val="73EF3C2E"/>
    <w:rsid w:val="73F563C5"/>
    <w:rsid w:val="74070402"/>
    <w:rsid w:val="740967A0"/>
    <w:rsid w:val="740D2C6D"/>
    <w:rsid w:val="741D2E7E"/>
    <w:rsid w:val="74264699"/>
    <w:rsid w:val="742C2525"/>
    <w:rsid w:val="7434641A"/>
    <w:rsid w:val="74371BBB"/>
    <w:rsid w:val="74483F07"/>
    <w:rsid w:val="74504CE3"/>
    <w:rsid w:val="74527B0E"/>
    <w:rsid w:val="7463671D"/>
    <w:rsid w:val="74732A9E"/>
    <w:rsid w:val="74740205"/>
    <w:rsid w:val="74741213"/>
    <w:rsid w:val="747447DE"/>
    <w:rsid w:val="747800B5"/>
    <w:rsid w:val="7485683D"/>
    <w:rsid w:val="74A22534"/>
    <w:rsid w:val="74A61EA5"/>
    <w:rsid w:val="74A94C32"/>
    <w:rsid w:val="74B11819"/>
    <w:rsid w:val="74B17FA5"/>
    <w:rsid w:val="74DD6AFF"/>
    <w:rsid w:val="74E54382"/>
    <w:rsid w:val="74F04B61"/>
    <w:rsid w:val="750A2B3F"/>
    <w:rsid w:val="750C7EF6"/>
    <w:rsid w:val="751A73BE"/>
    <w:rsid w:val="75266861"/>
    <w:rsid w:val="75284AF3"/>
    <w:rsid w:val="752C3A3C"/>
    <w:rsid w:val="75473CD8"/>
    <w:rsid w:val="75542A4A"/>
    <w:rsid w:val="75614FED"/>
    <w:rsid w:val="756225A2"/>
    <w:rsid w:val="75704CD3"/>
    <w:rsid w:val="75785691"/>
    <w:rsid w:val="75955031"/>
    <w:rsid w:val="759E3ECA"/>
    <w:rsid w:val="75A34025"/>
    <w:rsid w:val="75AE311E"/>
    <w:rsid w:val="75B46099"/>
    <w:rsid w:val="75B91D43"/>
    <w:rsid w:val="75BE4959"/>
    <w:rsid w:val="75BE57A1"/>
    <w:rsid w:val="75C50ADA"/>
    <w:rsid w:val="75C5273C"/>
    <w:rsid w:val="75D53FB0"/>
    <w:rsid w:val="75D91CC1"/>
    <w:rsid w:val="75DC2276"/>
    <w:rsid w:val="75E332E7"/>
    <w:rsid w:val="75F679E1"/>
    <w:rsid w:val="75FC74E4"/>
    <w:rsid w:val="760E2B08"/>
    <w:rsid w:val="760F2C49"/>
    <w:rsid w:val="761B70BB"/>
    <w:rsid w:val="762027B2"/>
    <w:rsid w:val="762A1882"/>
    <w:rsid w:val="7634625D"/>
    <w:rsid w:val="76377AFB"/>
    <w:rsid w:val="763E5FCC"/>
    <w:rsid w:val="764A3CD3"/>
    <w:rsid w:val="766A6AA0"/>
    <w:rsid w:val="766F5B1C"/>
    <w:rsid w:val="767372B0"/>
    <w:rsid w:val="76991FF1"/>
    <w:rsid w:val="769D6D24"/>
    <w:rsid w:val="76A37503"/>
    <w:rsid w:val="76BE513D"/>
    <w:rsid w:val="76BF71C5"/>
    <w:rsid w:val="76CD08F2"/>
    <w:rsid w:val="76D637B8"/>
    <w:rsid w:val="76DC1D4A"/>
    <w:rsid w:val="76DE441B"/>
    <w:rsid w:val="76E13FFA"/>
    <w:rsid w:val="76E62CE1"/>
    <w:rsid w:val="76EF033F"/>
    <w:rsid w:val="76F006CC"/>
    <w:rsid w:val="770C4BF0"/>
    <w:rsid w:val="77107164"/>
    <w:rsid w:val="77217231"/>
    <w:rsid w:val="77277DEF"/>
    <w:rsid w:val="77302B3A"/>
    <w:rsid w:val="77481459"/>
    <w:rsid w:val="7753535A"/>
    <w:rsid w:val="7758241F"/>
    <w:rsid w:val="7762336C"/>
    <w:rsid w:val="77705E6E"/>
    <w:rsid w:val="777234E1"/>
    <w:rsid w:val="777728A5"/>
    <w:rsid w:val="778D27BF"/>
    <w:rsid w:val="778D477B"/>
    <w:rsid w:val="77971250"/>
    <w:rsid w:val="77D221D2"/>
    <w:rsid w:val="77D67AA8"/>
    <w:rsid w:val="77F25A86"/>
    <w:rsid w:val="77FF781C"/>
    <w:rsid w:val="78033BDC"/>
    <w:rsid w:val="780D320A"/>
    <w:rsid w:val="78180935"/>
    <w:rsid w:val="78286386"/>
    <w:rsid w:val="7834326B"/>
    <w:rsid w:val="784B2D9E"/>
    <w:rsid w:val="78544995"/>
    <w:rsid w:val="78770683"/>
    <w:rsid w:val="78776F7C"/>
    <w:rsid w:val="78BE62B2"/>
    <w:rsid w:val="78C8611F"/>
    <w:rsid w:val="78E26855"/>
    <w:rsid w:val="78E47082"/>
    <w:rsid w:val="78EA2920"/>
    <w:rsid w:val="79084EA1"/>
    <w:rsid w:val="791066F3"/>
    <w:rsid w:val="79164B7B"/>
    <w:rsid w:val="7918515A"/>
    <w:rsid w:val="791C6B00"/>
    <w:rsid w:val="792B03DA"/>
    <w:rsid w:val="79321317"/>
    <w:rsid w:val="793842B6"/>
    <w:rsid w:val="79570BE0"/>
    <w:rsid w:val="795C633A"/>
    <w:rsid w:val="796E1A86"/>
    <w:rsid w:val="79750948"/>
    <w:rsid w:val="797B42CC"/>
    <w:rsid w:val="798637E2"/>
    <w:rsid w:val="798701F0"/>
    <w:rsid w:val="79943F70"/>
    <w:rsid w:val="79A3646A"/>
    <w:rsid w:val="79A625C5"/>
    <w:rsid w:val="79AB31B3"/>
    <w:rsid w:val="79AB7A8B"/>
    <w:rsid w:val="79BE6550"/>
    <w:rsid w:val="79C42038"/>
    <w:rsid w:val="79DA10EC"/>
    <w:rsid w:val="79E8151D"/>
    <w:rsid w:val="79FF2975"/>
    <w:rsid w:val="7A055B3E"/>
    <w:rsid w:val="7A0D6398"/>
    <w:rsid w:val="7A1046CE"/>
    <w:rsid w:val="7A202CB6"/>
    <w:rsid w:val="7A24145C"/>
    <w:rsid w:val="7A2F56B9"/>
    <w:rsid w:val="7A320D06"/>
    <w:rsid w:val="7A433DB7"/>
    <w:rsid w:val="7A4A50C9"/>
    <w:rsid w:val="7A6029D5"/>
    <w:rsid w:val="7A6B665A"/>
    <w:rsid w:val="7A726172"/>
    <w:rsid w:val="7A7502B0"/>
    <w:rsid w:val="7A7D4B90"/>
    <w:rsid w:val="7A826E41"/>
    <w:rsid w:val="7A846E07"/>
    <w:rsid w:val="7A8F3624"/>
    <w:rsid w:val="7A9511BE"/>
    <w:rsid w:val="7A9E1AFF"/>
    <w:rsid w:val="7AA74DCC"/>
    <w:rsid w:val="7ABE2599"/>
    <w:rsid w:val="7ABF07F0"/>
    <w:rsid w:val="7ADC6010"/>
    <w:rsid w:val="7ADE1E01"/>
    <w:rsid w:val="7AEB7110"/>
    <w:rsid w:val="7AEE7392"/>
    <w:rsid w:val="7B046060"/>
    <w:rsid w:val="7B14665D"/>
    <w:rsid w:val="7B170D34"/>
    <w:rsid w:val="7B171621"/>
    <w:rsid w:val="7B18473B"/>
    <w:rsid w:val="7B1A7B8F"/>
    <w:rsid w:val="7B1B3E90"/>
    <w:rsid w:val="7B252618"/>
    <w:rsid w:val="7B276CBA"/>
    <w:rsid w:val="7B2C320D"/>
    <w:rsid w:val="7B2E6AC4"/>
    <w:rsid w:val="7B334D35"/>
    <w:rsid w:val="7B340AAD"/>
    <w:rsid w:val="7B384521"/>
    <w:rsid w:val="7B405B1D"/>
    <w:rsid w:val="7B42315B"/>
    <w:rsid w:val="7B442104"/>
    <w:rsid w:val="7B65510B"/>
    <w:rsid w:val="7B7457EC"/>
    <w:rsid w:val="7B766578"/>
    <w:rsid w:val="7B8342A8"/>
    <w:rsid w:val="7B8B2DC3"/>
    <w:rsid w:val="7B904B39"/>
    <w:rsid w:val="7B98103C"/>
    <w:rsid w:val="7BA94FF8"/>
    <w:rsid w:val="7BAB3ADC"/>
    <w:rsid w:val="7BB11650"/>
    <w:rsid w:val="7BB357EF"/>
    <w:rsid w:val="7BCC3618"/>
    <w:rsid w:val="7BD13FC0"/>
    <w:rsid w:val="7BE81901"/>
    <w:rsid w:val="7BEB03D0"/>
    <w:rsid w:val="7BF439E5"/>
    <w:rsid w:val="7BFE17E7"/>
    <w:rsid w:val="7C042B76"/>
    <w:rsid w:val="7C08094D"/>
    <w:rsid w:val="7C0C21E9"/>
    <w:rsid w:val="7C11491A"/>
    <w:rsid w:val="7C120DEF"/>
    <w:rsid w:val="7C2451D7"/>
    <w:rsid w:val="7C320AAE"/>
    <w:rsid w:val="7C3E2D02"/>
    <w:rsid w:val="7C3E772A"/>
    <w:rsid w:val="7C444D20"/>
    <w:rsid w:val="7C4E5B08"/>
    <w:rsid w:val="7C52214F"/>
    <w:rsid w:val="7C547659"/>
    <w:rsid w:val="7C5700C3"/>
    <w:rsid w:val="7C5A2796"/>
    <w:rsid w:val="7C5E006B"/>
    <w:rsid w:val="7C7C7357"/>
    <w:rsid w:val="7C8543F1"/>
    <w:rsid w:val="7C8810B1"/>
    <w:rsid w:val="7C9C69B5"/>
    <w:rsid w:val="7CA4190A"/>
    <w:rsid w:val="7CB37E8E"/>
    <w:rsid w:val="7CB974BC"/>
    <w:rsid w:val="7CC6732B"/>
    <w:rsid w:val="7CC83BA3"/>
    <w:rsid w:val="7CE21D95"/>
    <w:rsid w:val="7CE6437A"/>
    <w:rsid w:val="7CE927C4"/>
    <w:rsid w:val="7CF675C8"/>
    <w:rsid w:val="7D04338E"/>
    <w:rsid w:val="7D08500A"/>
    <w:rsid w:val="7D1E1A15"/>
    <w:rsid w:val="7D1E79F2"/>
    <w:rsid w:val="7D381004"/>
    <w:rsid w:val="7D3B0E82"/>
    <w:rsid w:val="7D4F5CD8"/>
    <w:rsid w:val="7D5258B7"/>
    <w:rsid w:val="7D54016D"/>
    <w:rsid w:val="7D633929"/>
    <w:rsid w:val="7D6D7D84"/>
    <w:rsid w:val="7D817D11"/>
    <w:rsid w:val="7D8A0A1F"/>
    <w:rsid w:val="7D9A3B0E"/>
    <w:rsid w:val="7D9B3066"/>
    <w:rsid w:val="7D9B6311"/>
    <w:rsid w:val="7DB11315"/>
    <w:rsid w:val="7DB84B82"/>
    <w:rsid w:val="7DBF2670"/>
    <w:rsid w:val="7E0724A9"/>
    <w:rsid w:val="7E0E7E1E"/>
    <w:rsid w:val="7E1846B6"/>
    <w:rsid w:val="7E1A619A"/>
    <w:rsid w:val="7E244D3D"/>
    <w:rsid w:val="7E2C65B8"/>
    <w:rsid w:val="7E2E1411"/>
    <w:rsid w:val="7E3B32BD"/>
    <w:rsid w:val="7E444CE2"/>
    <w:rsid w:val="7E4E77A6"/>
    <w:rsid w:val="7E4F1B7F"/>
    <w:rsid w:val="7E54225E"/>
    <w:rsid w:val="7E562344"/>
    <w:rsid w:val="7E5F2C71"/>
    <w:rsid w:val="7E617E0B"/>
    <w:rsid w:val="7E653AE9"/>
    <w:rsid w:val="7E723BA2"/>
    <w:rsid w:val="7E7954B2"/>
    <w:rsid w:val="7E8F3670"/>
    <w:rsid w:val="7E946D24"/>
    <w:rsid w:val="7E9B3FC3"/>
    <w:rsid w:val="7EA01C51"/>
    <w:rsid w:val="7EC47FDD"/>
    <w:rsid w:val="7EC63CEF"/>
    <w:rsid w:val="7ECA128F"/>
    <w:rsid w:val="7ECE64CE"/>
    <w:rsid w:val="7ED05EB8"/>
    <w:rsid w:val="7EE75AD6"/>
    <w:rsid w:val="7EE87519"/>
    <w:rsid w:val="7EFA50C2"/>
    <w:rsid w:val="7EFC5E66"/>
    <w:rsid w:val="7F25058E"/>
    <w:rsid w:val="7F3B01D4"/>
    <w:rsid w:val="7F3D43D5"/>
    <w:rsid w:val="7F4454B4"/>
    <w:rsid w:val="7F4B6826"/>
    <w:rsid w:val="7F5A108E"/>
    <w:rsid w:val="7F5A271B"/>
    <w:rsid w:val="7F5D653E"/>
    <w:rsid w:val="7F652782"/>
    <w:rsid w:val="7F707D52"/>
    <w:rsid w:val="7F7A4DE5"/>
    <w:rsid w:val="7F7B6CAB"/>
    <w:rsid w:val="7F892D49"/>
    <w:rsid w:val="7F904487"/>
    <w:rsid w:val="7FA06B98"/>
    <w:rsid w:val="7FA80F44"/>
    <w:rsid w:val="7FB338EA"/>
    <w:rsid w:val="7FC33B42"/>
    <w:rsid w:val="7FC3730F"/>
    <w:rsid w:val="7FCD6BA3"/>
    <w:rsid w:val="7FD91B2C"/>
    <w:rsid w:val="7FE825CB"/>
    <w:rsid w:val="7FEB2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4"/>
    <w:qFormat/>
    <w:uiPriority w:val="9"/>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35"/>
    <w:unhideWhenUsed/>
    <w:qFormat/>
    <w:uiPriority w:val="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5"/>
    <w:link w:val="33"/>
    <w:unhideWhenUsed/>
    <w:qFormat/>
    <w:uiPriority w:val="9"/>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36"/>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37"/>
    <w:unhideWhenUsed/>
    <w:qFormat/>
    <w:uiPriority w:val="9"/>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38"/>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39"/>
    <w:unhideWhenUsed/>
    <w:qFormat/>
    <w:uiPriority w:val="9"/>
    <w:pPr>
      <w:keepNext/>
      <w:keepLines/>
      <w:numPr>
        <w:ilvl w:val="6"/>
        <w:numId w:val="1"/>
      </w:numPr>
      <w:spacing w:before="240" w:after="64" w:line="320" w:lineRule="auto"/>
      <w:outlineLvl w:val="6"/>
    </w:pPr>
    <w:rPr>
      <w:b/>
      <w:bCs/>
      <w:sz w:val="24"/>
      <w:szCs w:val="24"/>
    </w:rPr>
  </w:style>
  <w:style w:type="paragraph" w:styleId="10">
    <w:name w:val="heading 8"/>
    <w:basedOn w:val="1"/>
    <w:next w:val="1"/>
    <w:link w:val="40"/>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41"/>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qFormat/>
    <w:uiPriority w:val="0"/>
    <w:pPr>
      <w:ind w:firstLine="766" w:firstLineChars="221"/>
    </w:pPr>
    <w:rPr>
      <w:rFonts w:ascii="仿宋_GB2312" w:hAnsi="Times New Roman" w:eastAsia="宋体" w:cs="Times New Roman"/>
      <w:kern w:val="0"/>
      <w:sz w:val="20"/>
      <w:szCs w:val="24"/>
    </w:rPr>
  </w:style>
  <w:style w:type="paragraph" w:styleId="12">
    <w:name w:val="Normal Indent"/>
    <w:basedOn w:val="1"/>
    <w:next w:val="1"/>
    <w:qFormat/>
    <w:uiPriority w:val="99"/>
    <w:pPr>
      <w:suppressAutoHyphens/>
      <w:ind w:firstLine="200" w:firstLineChars="200"/>
    </w:pPr>
    <w:rPr>
      <w:rFonts w:ascii="宋体" w:hAnsi="宋体" w:cs="宋体"/>
      <w:kern w:val="1"/>
      <w:sz w:val="28"/>
      <w:szCs w:val="28"/>
      <w:lang w:eastAsia="ar-SA"/>
    </w:rPr>
  </w:style>
  <w:style w:type="paragraph" w:styleId="13">
    <w:name w:val="caption"/>
    <w:basedOn w:val="1"/>
    <w:next w:val="1"/>
    <w:qFormat/>
    <w:uiPriority w:val="35"/>
    <w:pPr>
      <w:widowControl/>
      <w:ind w:firstLine="200" w:firstLineChars="200"/>
    </w:pPr>
    <w:rPr>
      <w:rFonts w:ascii="Calibri" w:hAnsi="Calibri" w:eastAsia="宋体" w:cs="Times New Roman"/>
      <w:b/>
      <w:bCs/>
      <w:color w:val="4F81BD"/>
      <w:kern w:val="0"/>
      <w:sz w:val="18"/>
      <w:szCs w:val="18"/>
      <w:lang w:eastAsia="en-US" w:bidi="en-US"/>
    </w:rPr>
  </w:style>
  <w:style w:type="paragraph" w:styleId="14">
    <w:name w:val="annotation text"/>
    <w:basedOn w:val="1"/>
    <w:link w:val="42"/>
    <w:qFormat/>
    <w:uiPriority w:val="0"/>
    <w:pPr>
      <w:jc w:val="left"/>
    </w:pPr>
  </w:style>
  <w:style w:type="paragraph" w:styleId="15">
    <w:name w:val="Body Text"/>
    <w:basedOn w:val="1"/>
    <w:next w:val="16"/>
    <w:link w:val="43"/>
    <w:qFormat/>
    <w:uiPriority w:val="1"/>
    <w:pPr>
      <w:autoSpaceDE w:val="0"/>
      <w:autoSpaceDN w:val="0"/>
      <w:jc w:val="left"/>
    </w:pPr>
    <w:rPr>
      <w:rFonts w:ascii="宋体" w:hAnsi="宋体" w:eastAsia="宋体" w:cs="宋体"/>
      <w:kern w:val="0"/>
      <w:sz w:val="28"/>
      <w:szCs w:val="28"/>
    </w:rPr>
  </w:style>
  <w:style w:type="paragraph" w:styleId="16">
    <w:name w:val="toc 5"/>
    <w:basedOn w:val="1"/>
    <w:next w:val="1"/>
    <w:unhideWhenUsed/>
    <w:qFormat/>
    <w:uiPriority w:val="39"/>
    <w:pPr>
      <w:ind w:left="1280"/>
      <w:jc w:val="left"/>
    </w:pPr>
    <w:rPr>
      <w:rFonts w:cstheme="minorHAnsi"/>
      <w:sz w:val="20"/>
      <w:szCs w:val="20"/>
    </w:rPr>
  </w:style>
  <w:style w:type="paragraph" w:styleId="17">
    <w:name w:val="toc 3"/>
    <w:basedOn w:val="1"/>
    <w:next w:val="1"/>
    <w:semiHidden/>
    <w:unhideWhenUsed/>
    <w:qFormat/>
    <w:uiPriority w:val="39"/>
    <w:pPr>
      <w:ind w:left="840" w:leftChars="400"/>
    </w:pPr>
  </w:style>
  <w:style w:type="paragraph" w:styleId="18">
    <w:name w:val="Plain Text"/>
    <w:basedOn w:val="1"/>
    <w:next w:val="1"/>
    <w:qFormat/>
    <w:uiPriority w:val="99"/>
    <w:rPr>
      <w:rFonts w:hAnsi="Courier New"/>
      <w:kern w:val="0"/>
      <w:sz w:val="20"/>
      <w:szCs w:val="21"/>
      <w:lang w:val="zh-CN"/>
    </w:rPr>
  </w:style>
  <w:style w:type="paragraph" w:styleId="19">
    <w:name w:val="Balloon Text"/>
    <w:basedOn w:val="1"/>
    <w:link w:val="44"/>
    <w:semiHidden/>
    <w:unhideWhenUsed/>
    <w:qFormat/>
    <w:uiPriority w:val="99"/>
    <w:rPr>
      <w:sz w:val="18"/>
      <w:szCs w:val="18"/>
    </w:rPr>
  </w:style>
  <w:style w:type="paragraph" w:styleId="20">
    <w:name w:val="footer"/>
    <w:basedOn w:val="1"/>
    <w:link w:val="45"/>
    <w:unhideWhenUsed/>
    <w:qFormat/>
    <w:uiPriority w:val="99"/>
    <w:pPr>
      <w:tabs>
        <w:tab w:val="center" w:pos="4153"/>
        <w:tab w:val="right" w:pos="8306"/>
      </w:tabs>
      <w:snapToGrid w:val="0"/>
      <w:jc w:val="left"/>
    </w:pPr>
    <w:rPr>
      <w:sz w:val="18"/>
      <w:szCs w:val="18"/>
    </w:rPr>
  </w:style>
  <w:style w:type="paragraph" w:styleId="21">
    <w:name w:val="header"/>
    <w:basedOn w:val="1"/>
    <w:link w:val="46"/>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tabs>
        <w:tab w:val="right" w:leader="dot" w:pos="8296"/>
      </w:tabs>
    </w:pPr>
    <w:rPr>
      <w:rFonts w:ascii="方正小标宋简体" w:eastAsia="方正小标宋简体"/>
      <w:b/>
      <w:bCs/>
      <w:sz w:val="18"/>
      <w:szCs w:val="20"/>
    </w:rPr>
  </w:style>
  <w:style w:type="paragraph" w:styleId="23">
    <w:name w:val="toc 2"/>
    <w:basedOn w:val="1"/>
    <w:next w:val="1"/>
    <w:unhideWhenUsed/>
    <w:qFormat/>
    <w:uiPriority w:val="39"/>
    <w:pPr>
      <w:ind w:left="420" w:leftChars="200"/>
    </w:pPr>
  </w:style>
  <w:style w:type="paragraph" w:styleId="2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5">
    <w:name w:val="annotation subject"/>
    <w:basedOn w:val="14"/>
    <w:next w:val="14"/>
    <w:link w:val="47"/>
    <w:semiHidden/>
    <w:unhideWhenUsed/>
    <w:qFormat/>
    <w:uiPriority w:val="99"/>
    <w:rPr>
      <w:b/>
      <w:bCs/>
    </w:rPr>
  </w:style>
  <w:style w:type="table" w:styleId="27">
    <w:name w:val="Table Grid"/>
    <w:basedOn w:val="26"/>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rPr>
  </w:style>
  <w:style w:type="character" w:styleId="30">
    <w:name w:val="FollowedHyperlink"/>
    <w:basedOn w:val="28"/>
    <w:semiHidden/>
    <w:unhideWhenUsed/>
    <w:qFormat/>
    <w:uiPriority w:val="99"/>
    <w:rPr>
      <w:color w:val="800080"/>
      <w:u w:val="single"/>
    </w:rPr>
  </w:style>
  <w:style w:type="character" w:styleId="31">
    <w:name w:val="Hyperlink"/>
    <w:basedOn w:val="28"/>
    <w:unhideWhenUsed/>
    <w:qFormat/>
    <w:uiPriority w:val="99"/>
    <w:rPr>
      <w:color w:val="0563C1" w:themeColor="hyperlink"/>
      <w:u w:val="single"/>
      <w14:textFill>
        <w14:solidFill>
          <w14:schemeClr w14:val="hlink"/>
        </w14:solidFill>
      </w14:textFill>
    </w:rPr>
  </w:style>
  <w:style w:type="character" w:styleId="32">
    <w:name w:val="annotation reference"/>
    <w:basedOn w:val="28"/>
    <w:semiHidden/>
    <w:unhideWhenUsed/>
    <w:qFormat/>
    <w:uiPriority w:val="99"/>
    <w:rPr>
      <w:sz w:val="21"/>
      <w:szCs w:val="21"/>
    </w:rPr>
  </w:style>
  <w:style w:type="character" w:customStyle="1" w:styleId="33">
    <w:name w:val="标题 3 字符"/>
    <w:basedOn w:val="28"/>
    <w:link w:val="4"/>
    <w:qFormat/>
    <w:uiPriority w:val="9"/>
    <w:rPr>
      <w:rFonts w:asciiTheme="minorHAnsi" w:hAnsiTheme="minorHAnsi" w:eastAsiaTheme="minorEastAsia" w:cstheme="minorBidi"/>
      <w:b/>
      <w:bCs/>
      <w:kern w:val="2"/>
      <w:sz w:val="32"/>
      <w:szCs w:val="32"/>
    </w:rPr>
  </w:style>
  <w:style w:type="character" w:customStyle="1" w:styleId="34">
    <w:name w:val="标题 1 字符"/>
    <w:basedOn w:val="28"/>
    <w:link w:val="2"/>
    <w:qFormat/>
    <w:uiPriority w:val="9"/>
    <w:rPr>
      <w:rFonts w:asciiTheme="minorHAnsi" w:hAnsiTheme="minorHAnsi" w:eastAsiaTheme="minorEastAsia" w:cstheme="minorBidi"/>
      <w:b/>
      <w:bCs/>
      <w:kern w:val="44"/>
      <w:sz w:val="44"/>
      <w:szCs w:val="44"/>
    </w:rPr>
  </w:style>
  <w:style w:type="character" w:customStyle="1" w:styleId="35">
    <w:name w:val="标题 2 字符"/>
    <w:basedOn w:val="28"/>
    <w:link w:val="3"/>
    <w:qFormat/>
    <w:uiPriority w:val="9"/>
    <w:rPr>
      <w:rFonts w:asciiTheme="majorHAnsi" w:hAnsiTheme="majorHAnsi" w:eastAsiaTheme="majorEastAsia" w:cstheme="majorBidi"/>
      <w:b/>
      <w:bCs/>
      <w:kern w:val="2"/>
      <w:sz w:val="32"/>
      <w:szCs w:val="32"/>
    </w:rPr>
  </w:style>
  <w:style w:type="character" w:customStyle="1" w:styleId="36">
    <w:name w:val="标题 4 字符"/>
    <w:basedOn w:val="28"/>
    <w:link w:val="6"/>
    <w:qFormat/>
    <w:uiPriority w:val="9"/>
    <w:rPr>
      <w:rFonts w:asciiTheme="majorHAnsi" w:hAnsiTheme="majorHAnsi" w:eastAsiaTheme="majorEastAsia" w:cstheme="majorBidi"/>
      <w:b/>
      <w:bCs/>
      <w:kern w:val="2"/>
      <w:sz w:val="28"/>
      <w:szCs w:val="28"/>
    </w:rPr>
  </w:style>
  <w:style w:type="character" w:customStyle="1" w:styleId="37">
    <w:name w:val="标题 5 字符"/>
    <w:basedOn w:val="28"/>
    <w:link w:val="7"/>
    <w:qFormat/>
    <w:uiPriority w:val="9"/>
    <w:rPr>
      <w:rFonts w:asciiTheme="minorHAnsi" w:hAnsiTheme="minorHAnsi" w:eastAsiaTheme="minorEastAsia" w:cstheme="minorBidi"/>
      <w:b/>
      <w:bCs/>
      <w:kern w:val="2"/>
      <w:sz w:val="28"/>
      <w:szCs w:val="28"/>
    </w:rPr>
  </w:style>
  <w:style w:type="character" w:customStyle="1" w:styleId="38">
    <w:name w:val="标题 6 字符"/>
    <w:basedOn w:val="28"/>
    <w:link w:val="8"/>
    <w:qFormat/>
    <w:uiPriority w:val="9"/>
    <w:rPr>
      <w:rFonts w:asciiTheme="majorHAnsi" w:hAnsiTheme="majorHAnsi" w:eastAsiaTheme="majorEastAsia" w:cstheme="majorBidi"/>
      <w:b/>
      <w:bCs/>
      <w:kern w:val="2"/>
      <w:sz w:val="24"/>
      <w:szCs w:val="24"/>
    </w:rPr>
  </w:style>
  <w:style w:type="character" w:customStyle="1" w:styleId="39">
    <w:name w:val="标题 7 字符"/>
    <w:basedOn w:val="28"/>
    <w:link w:val="9"/>
    <w:qFormat/>
    <w:uiPriority w:val="9"/>
    <w:rPr>
      <w:rFonts w:asciiTheme="minorHAnsi" w:hAnsiTheme="minorHAnsi" w:eastAsiaTheme="minorEastAsia" w:cstheme="minorBidi"/>
      <w:b/>
      <w:bCs/>
      <w:kern w:val="2"/>
      <w:sz w:val="24"/>
      <w:szCs w:val="24"/>
    </w:rPr>
  </w:style>
  <w:style w:type="character" w:customStyle="1" w:styleId="40">
    <w:name w:val="标题 8 字符"/>
    <w:basedOn w:val="28"/>
    <w:link w:val="10"/>
    <w:qFormat/>
    <w:uiPriority w:val="9"/>
    <w:rPr>
      <w:rFonts w:asciiTheme="majorHAnsi" w:hAnsiTheme="majorHAnsi" w:eastAsiaTheme="majorEastAsia" w:cstheme="majorBidi"/>
      <w:kern w:val="2"/>
      <w:sz w:val="24"/>
      <w:szCs w:val="24"/>
    </w:rPr>
  </w:style>
  <w:style w:type="character" w:customStyle="1" w:styleId="41">
    <w:name w:val="标题 9 字符"/>
    <w:basedOn w:val="28"/>
    <w:link w:val="11"/>
    <w:qFormat/>
    <w:uiPriority w:val="9"/>
    <w:rPr>
      <w:rFonts w:asciiTheme="majorHAnsi" w:hAnsiTheme="majorHAnsi" w:eastAsiaTheme="majorEastAsia" w:cstheme="majorBidi"/>
      <w:kern w:val="2"/>
      <w:sz w:val="21"/>
      <w:szCs w:val="21"/>
    </w:rPr>
  </w:style>
  <w:style w:type="character" w:customStyle="1" w:styleId="42">
    <w:name w:val="批注文字 字符"/>
    <w:basedOn w:val="28"/>
    <w:link w:val="14"/>
    <w:qFormat/>
    <w:uiPriority w:val="0"/>
    <w:rPr>
      <w:rFonts w:asciiTheme="minorHAnsi" w:hAnsiTheme="minorHAnsi" w:eastAsiaTheme="minorEastAsia" w:cstheme="minorBidi"/>
      <w:kern w:val="2"/>
      <w:sz w:val="21"/>
      <w:szCs w:val="22"/>
    </w:rPr>
  </w:style>
  <w:style w:type="character" w:customStyle="1" w:styleId="43">
    <w:name w:val="正文文本 字符"/>
    <w:basedOn w:val="28"/>
    <w:link w:val="15"/>
    <w:qFormat/>
    <w:uiPriority w:val="1"/>
    <w:rPr>
      <w:rFonts w:ascii="宋体" w:hAnsi="宋体" w:cs="宋体"/>
      <w:sz w:val="28"/>
      <w:szCs w:val="28"/>
    </w:rPr>
  </w:style>
  <w:style w:type="character" w:customStyle="1" w:styleId="44">
    <w:name w:val="批注框文本 字符"/>
    <w:basedOn w:val="28"/>
    <w:link w:val="19"/>
    <w:semiHidden/>
    <w:qFormat/>
    <w:uiPriority w:val="99"/>
    <w:rPr>
      <w:rFonts w:asciiTheme="minorHAnsi" w:hAnsiTheme="minorHAnsi" w:eastAsiaTheme="minorEastAsia" w:cstheme="minorBidi"/>
      <w:kern w:val="2"/>
      <w:sz w:val="18"/>
      <w:szCs w:val="18"/>
    </w:rPr>
  </w:style>
  <w:style w:type="character" w:customStyle="1" w:styleId="45">
    <w:name w:val="页脚 字符"/>
    <w:basedOn w:val="28"/>
    <w:link w:val="20"/>
    <w:qFormat/>
    <w:uiPriority w:val="99"/>
    <w:rPr>
      <w:sz w:val="18"/>
      <w:szCs w:val="18"/>
    </w:rPr>
  </w:style>
  <w:style w:type="character" w:customStyle="1" w:styleId="46">
    <w:name w:val="页眉 字符"/>
    <w:basedOn w:val="28"/>
    <w:link w:val="21"/>
    <w:qFormat/>
    <w:uiPriority w:val="99"/>
    <w:rPr>
      <w:sz w:val="18"/>
      <w:szCs w:val="18"/>
    </w:rPr>
  </w:style>
  <w:style w:type="character" w:customStyle="1" w:styleId="47">
    <w:name w:val="批注主题 字符"/>
    <w:basedOn w:val="42"/>
    <w:link w:val="25"/>
    <w:semiHidden/>
    <w:qFormat/>
    <w:uiPriority w:val="99"/>
    <w:rPr>
      <w:rFonts w:asciiTheme="minorHAnsi" w:hAnsiTheme="minorHAnsi" w:eastAsiaTheme="minorEastAsia" w:cstheme="minorBidi"/>
      <w:b/>
      <w:bCs/>
      <w:kern w:val="2"/>
      <w:sz w:val="21"/>
      <w:szCs w:val="22"/>
    </w:rPr>
  </w:style>
  <w:style w:type="paragraph" w:styleId="48">
    <w:name w:val="List Paragraph"/>
    <w:basedOn w:val="1"/>
    <w:link w:val="49"/>
    <w:qFormat/>
    <w:uiPriority w:val="34"/>
    <w:pPr>
      <w:ind w:firstLine="420" w:firstLineChars="200"/>
    </w:pPr>
  </w:style>
  <w:style w:type="character" w:customStyle="1" w:styleId="49">
    <w:name w:val="列表段落 字符"/>
    <w:link w:val="48"/>
    <w:qFormat/>
    <w:uiPriority w:val="34"/>
    <w:rPr>
      <w:kern w:val="2"/>
      <w:sz w:val="21"/>
      <w:szCs w:val="22"/>
    </w:rPr>
  </w:style>
  <w:style w:type="table" w:customStyle="1" w:styleId="50">
    <w:name w:val="网格型1"/>
    <w:basedOn w:val="26"/>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1">
    <w:name w:val="正文5 Char"/>
    <w:link w:val="52"/>
    <w:qFormat/>
    <w:uiPriority w:val="0"/>
    <w:rPr>
      <w:rFonts w:ascii="方正仿宋简体" w:hAnsi="方正仿宋简体" w:eastAsia="方正仿宋简体" w:cs="方正仿宋简体"/>
    </w:rPr>
  </w:style>
  <w:style w:type="paragraph" w:customStyle="1" w:styleId="52">
    <w:name w:val="正文5"/>
    <w:basedOn w:val="1"/>
    <w:link w:val="51"/>
    <w:qFormat/>
    <w:uiPriority w:val="0"/>
    <w:pPr>
      <w:spacing w:line="560" w:lineRule="exact"/>
      <w:ind w:firstLine="880" w:firstLineChars="200"/>
    </w:pPr>
    <w:rPr>
      <w:rFonts w:ascii="方正仿宋简体" w:hAnsi="方正仿宋简体" w:eastAsia="方正仿宋简体" w:cs="方正仿宋简体"/>
      <w:kern w:val="0"/>
      <w:sz w:val="20"/>
      <w:szCs w:val="20"/>
    </w:rPr>
  </w:style>
  <w:style w:type="paragraph" w:customStyle="1" w:styleId="53">
    <w:name w:val="TOC 标题1"/>
    <w:basedOn w:val="2"/>
    <w:next w:val="1"/>
    <w:unhideWhenUsed/>
    <w:qFormat/>
    <w:uiPriority w:val="39"/>
    <w:pPr>
      <w:widowControl/>
      <w:numPr>
        <w:numId w:val="0"/>
      </w:numPr>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54">
    <w:name w:val="WPSOffice手动目录 1"/>
    <w:qFormat/>
    <w:uiPriority w:val="0"/>
    <w:rPr>
      <w:rFonts w:ascii="Times New Roman" w:hAnsi="Times New Roman" w:eastAsia="宋体" w:cs="Times New Roman"/>
      <w:lang w:val="en-US" w:eastAsia="zh-CN" w:bidi="ar-SA"/>
    </w:rPr>
  </w:style>
  <w:style w:type="paragraph" w:customStyle="1" w:styleId="5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56">
    <w:name w:val="font11"/>
    <w:basedOn w:val="28"/>
    <w:qFormat/>
    <w:uiPriority w:val="0"/>
    <w:rPr>
      <w:rFonts w:hint="eastAsia" w:ascii="Microsoft JhengHei" w:hAnsi="Microsoft JhengHei" w:eastAsia="Microsoft JhengHei" w:cs="Microsoft JhengHei"/>
      <w:b/>
      <w:bCs/>
      <w:color w:val="000000"/>
      <w:sz w:val="22"/>
      <w:szCs w:val="22"/>
      <w:u w:val="none"/>
    </w:rPr>
  </w:style>
  <w:style w:type="character" w:customStyle="1" w:styleId="57">
    <w:name w:val="font51"/>
    <w:basedOn w:val="28"/>
    <w:qFormat/>
    <w:uiPriority w:val="0"/>
    <w:rPr>
      <w:rFonts w:ascii="等线" w:hAnsi="等线" w:eastAsia="等线" w:cs="等线"/>
      <w:b/>
      <w:bCs/>
      <w:color w:val="000000"/>
      <w:sz w:val="22"/>
      <w:szCs w:val="22"/>
      <w:u w:val="none"/>
    </w:rPr>
  </w:style>
  <w:style w:type="character" w:customStyle="1" w:styleId="58">
    <w:name w:val="font01"/>
    <w:basedOn w:val="28"/>
    <w:qFormat/>
    <w:uiPriority w:val="0"/>
    <w:rPr>
      <w:rFonts w:hint="eastAsia" w:ascii="宋体" w:hAnsi="宋体" w:eastAsia="宋体" w:cs="宋体"/>
      <w:b/>
      <w:bCs/>
      <w:color w:val="000000"/>
      <w:sz w:val="22"/>
      <w:szCs w:val="22"/>
      <w:u w:val="none"/>
    </w:rPr>
  </w:style>
  <w:style w:type="character" w:customStyle="1" w:styleId="59">
    <w:name w:val="font71"/>
    <w:basedOn w:val="28"/>
    <w:qFormat/>
    <w:uiPriority w:val="0"/>
    <w:rPr>
      <w:rFonts w:ascii="Microsoft YaHei UI" w:hAnsi="Microsoft YaHei UI" w:eastAsia="Microsoft YaHei UI" w:cs="Microsoft YaHei UI"/>
      <w:color w:val="000000"/>
      <w:sz w:val="22"/>
      <w:szCs w:val="22"/>
      <w:u w:val="none"/>
    </w:rPr>
  </w:style>
  <w:style w:type="character" w:customStyle="1" w:styleId="60">
    <w:name w:val="font41"/>
    <w:basedOn w:val="28"/>
    <w:qFormat/>
    <w:uiPriority w:val="0"/>
    <w:rPr>
      <w:rFonts w:ascii="Malgun Gothic Semilight" w:hAnsi="Malgun Gothic Semilight" w:eastAsia="Malgun Gothic Semilight" w:cs="Malgun Gothic Semilight"/>
      <w:color w:val="000000"/>
      <w:sz w:val="22"/>
      <w:szCs w:val="22"/>
      <w:u w:val="none"/>
    </w:rPr>
  </w:style>
  <w:style w:type="character" w:customStyle="1" w:styleId="61">
    <w:name w:val="font81"/>
    <w:basedOn w:val="28"/>
    <w:qFormat/>
    <w:uiPriority w:val="0"/>
    <w:rPr>
      <w:rFonts w:ascii="等线" w:hAnsi="等线" w:eastAsia="等线" w:cs="等线"/>
      <w:b/>
      <w:bCs/>
      <w:color w:val="000000"/>
      <w:sz w:val="22"/>
      <w:szCs w:val="22"/>
      <w:u w:val="none"/>
    </w:rPr>
  </w:style>
  <w:style w:type="character" w:customStyle="1" w:styleId="62">
    <w:name w:val="font31"/>
    <w:basedOn w:val="28"/>
    <w:qFormat/>
    <w:uiPriority w:val="0"/>
    <w:rPr>
      <w:rFonts w:hint="eastAsia" w:ascii="仿宋_GB2312" w:eastAsia="仿宋_GB2312" w:cs="仿宋_GB2312"/>
      <w:color w:val="000000"/>
      <w:sz w:val="20"/>
      <w:szCs w:val="20"/>
      <w:u w:val="none"/>
    </w:rPr>
  </w:style>
  <w:style w:type="character" w:customStyle="1" w:styleId="63">
    <w:name w:val="font21"/>
    <w:basedOn w:val="28"/>
    <w:qFormat/>
    <w:uiPriority w:val="0"/>
    <w:rPr>
      <w:rFonts w:hint="default" w:ascii="Times New Roman" w:hAnsi="Times New Roman" w:cs="Times New Roman"/>
      <w:color w:val="000000"/>
      <w:sz w:val="21"/>
      <w:szCs w:val="21"/>
      <w:u w:val="none"/>
    </w:rPr>
  </w:style>
  <w:style w:type="character" w:customStyle="1" w:styleId="64">
    <w:name w:val="font61"/>
    <w:basedOn w:val="28"/>
    <w:qFormat/>
    <w:uiPriority w:val="0"/>
    <w:rPr>
      <w:rFonts w:hint="eastAsia" w:ascii="宋体" w:hAnsi="宋体" w:eastAsia="宋体" w:cs="宋体"/>
      <w:color w:val="000000"/>
      <w:sz w:val="22"/>
      <w:szCs w:val="22"/>
      <w:u w:val="none"/>
    </w:rPr>
  </w:style>
  <w:style w:type="character" w:customStyle="1" w:styleId="65">
    <w:name w:val="font101"/>
    <w:basedOn w:val="28"/>
    <w:qFormat/>
    <w:uiPriority w:val="0"/>
    <w:rPr>
      <w:rFonts w:hint="eastAsia" w:ascii="仿宋_GB2312" w:eastAsia="仿宋_GB2312" w:cs="仿宋_GB2312"/>
      <w:color w:val="000000"/>
      <w:sz w:val="22"/>
      <w:szCs w:val="22"/>
      <w:u w:val="none"/>
    </w:rPr>
  </w:style>
  <w:style w:type="character" w:customStyle="1" w:styleId="66">
    <w:name w:val="font141"/>
    <w:basedOn w:val="28"/>
    <w:qFormat/>
    <w:uiPriority w:val="0"/>
    <w:rPr>
      <w:rFonts w:hint="eastAsia" w:ascii="宋体" w:hAnsi="宋体" w:eastAsia="宋体" w:cs="宋体"/>
      <w:b/>
      <w:bCs/>
      <w:color w:val="000000"/>
      <w:sz w:val="22"/>
      <w:szCs w:val="22"/>
      <w:u w:val="none"/>
    </w:rPr>
  </w:style>
  <w:style w:type="paragraph" w:customStyle="1" w:styleId="67">
    <w:name w:val="B 正文"/>
    <w:basedOn w:val="1"/>
    <w:qFormat/>
    <w:uiPriority w:val="99"/>
    <w:pPr>
      <w:ind w:firstLine="200" w:firstLineChars="200"/>
    </w:pPr>
    <w:rPr>
      <w:rFonts w:ascii="仿宋" w:hAnsi="仿宋" w:eastAsia="仿宋" w:cs="仿宋"/>
      <w:sz w:val="30"/>
      <w:szCs w:val="30"/>
    </w:rPr>
  </w:style>
  <w:style w:type="paragraph" w:customStyle="1" w:styleId="68">
    <w:name w:val="样式3"/>
    <w:basedOn w:val="1"/>
    <w:qFormat/>
    <w:uiPriority w:val="0"/>
    <w:rPr>
      <w:rFonts w:ascii="黑体" w:hAnsi="黑体" w:eastAsia="黑体" w:cs="黑体"/>
    </w:rPr>
  </w:style>
  <w:style w:type="character" w:customStyle="1" w:styleId="69">
    <w:name w:val="font91"/>
    <w:basedOn w:val="28"/>
    <w:qFormat/>
    <w:uiPriority w:val="0"/>
    <w:rPr>
      <w:rFonts w:ascii="仿宋_GB2312" w:eastAsia="仿宋_GB2312" w:cs="仿宋_GB2312"/>
      <w:b/>
      <w:bCs/>
      <w:color w:val="000000"/>
      <w:sz w:val="22"/>
      <w:szCs w:val="22"/>
      <w:u w:val="none"/>
    </w:rPr>
  </w:style>
  <w:style w:type="character" w:customStyle="1" w:styleId="70">
    <w:name w:val="font112"/>
    <w:basedOn w:val="28"/>
    <w:qFormat/>
    <w:uiPriority w:val="0"/>
    <w:rPr>
      <w:rFonts w:hint="eastAsia" w:ascii="仿宋_GB2312" w:eastAsia="仿宋_GB2312" w:cs="仿宋_GB2312"/>
      <w:color w:val="000000"/>
      <w:sz w:val="22"/>
      <w:szCs w:val="22"/>
      <w:u w:val="none"/>
    </w:rPr>
  </w:style>
  <w:style w:type="character" w:customStyle="1" w:styleId="71">
    <w:name w:val="font121"/>
    <w:basedOn w:val="28"/>
    <w:qFormat/>
    <w:uiPriority w:val="0"/>
    <w:rPr>
      <w:rFonts w:hint="eastAsia" w:ascii="仿宋_GB2312" w:eastAsia="仿宋_GB2312" w:cs="仿宋_GB2312"/>
      <w:color w:val="000000"/>
      <w:sz w:val="20"/>
      <w:szCs w:val="20"/>
      <w:u w:val="none"/>
    </w:rPr>
  </w:style>
  <w:style w:type="character" w:customStyle="1" w:styleId="72">
    <w:name w:val="font131"/>
    <w:basedOn w:val="28"/>
    <w:qFormat/>
    <w:uiPriority w:val="0"/>
    <w:rPr>
      <w:rFonts w:hint="eastAsia" w:ascii="仿宋_GB2312" w:eastAsia="仿宋_GB2312" w:cs="仿宋_GB2312"/>
      <w:color w:val="000000"/>
      <w:sz w:val="22"/>
      <w:szCs w:val="22"/>
      <w:u w:val="none"/>
    </w:rPr>
  </w:style>
  <w:style w:type="paragraph" w:customStyle="1" w:styleId="73">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4">
    <w:name w:val="font5"/>
    <w:basedOn w:val="1"/>
    <w:qFormat/>
    <w:uiPriority w:val="0"/>
    <w:pPr>
      <w:widowControl/>
      <w:spacing w:before="100" w:beforeAutospacing="1" w:after="100" w:afterAutospacing="1"/>
      <w:jc w:val="left"/>
    </w:pPr>
    <w:rPr>
      <w:rFonts w:ascii="仿宋_GB2312" w:hAnsi="宋体" w:eastAsia="仿宋_GB2312" w:cs="宋体"/>
      <w:kern w:val="0"/>
      <w:sz w:val="22"/>
    </w:rPr>
  </w:style>
  <w:style w:type="paragraph" w:customStyle="1" w:styleId="75">
    <w:name w:val="font6"/>
    <w:basedOn w:val="1"/>
    <w:qFormat/>
    <w:uiPriority w:val="0"/>
    <w:pPr>
      <w:widowControl/>
      <w:spacing w:before="100" w:beforeAutospacing="1" w:after="100" w:afterAutospacing="1"/>
      <w:jc w:val="left"/>
    </w:pPr>
    <w:rPr>
      <w:rFonts w:ascii="Times New Roman" w:hAnsi="Times New Roman" w:eastAsia="宋体" w:cs="Times New Roman"/>
      <w:kern w:val="0"/>
      <w:sz w:val="22"/>
    </w:rPr>
  </w:style>
  <w:style w:type="paragraph" w:customStyle="1" w:styleId="76">
    <w:name w:val="font7"/>
    <w:basedOn w:val="1"/>
    <w:qFormat/>
    <w:uiPriority w:val="0"/>
    <w:pPr>
      <w:widowControl/>
      <w:spacing w:before="100" w:beforeAutospacing="1" w:after="100" w:afterAutospacing="1"/>
      <w:jc w:val="left"/>
    </w:pPr>
    <w:rPr>
      <w:rFonts w:ascii="仿宋_GB2312" w:hAnsi="宋体" w:eastAsia="仿宋_GB2312" w:cs="宋体"/>
      <w:kern w:val="0"/>
      <w:sz w:val="18"/>
      <w:szCs w:val="18"/>
    </w:rPr>
  </w:style>
  <w:style w:type="paragraph" w:customStyle="1" w:styleId="77">
    <w:name w:val="font8"/>
    <w:basedOn w:val="1"/>
    <w:qFormat/>
    <w:uiPriority w:val="0"/>
    <w:pPr>
      <w:widowControl/>
      <w:spacing w:before="100" w:beforeAutospacing="1" w:after="100" w:afterAutospacing="1"/>
      <w:jc w:val="left"/>
    </w:pPr>
    <w:rPr>
      <w:rFonts w:ascii="Times New Roman" w:hAnsi="Times New Roman" w:eastAsia="宋体" w:cs="Times New Roman"/>
      <w:kern w:val="0"/>
      <w:sz w:val="18"/>
      <w:szCs w:val="18"/>
    </w:rPr>
  </w:style>
  <w:style w:type="paragraph" w:customStyle="1" w:styleId="78">
    <w:name w:val="font9"/>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79">
    <w:name w:val="xl80"/>
    <w:basedOn w:val="1"/>
    <w:qFormat/>
    <w:uiPriority w:val="0"/>
    <w:pPr>
      <w:widowControl/>
      <w:shd w:val="clear" w:color="000000" w:fill="ED7D31"/>
      <w:spacing w:before="100" w:beforeAutospacing="1" w:after="100" w:afterAutospacing="1"/>
      <w:jc w:val="left"/>
    </w:pPr>
    <w:rPr>
      <w:rFonts w:ascii="宋体" w:hAnsi="宋体" w:eastAsia="宋体" w:cs="宋体"/>
      <w:kern w:val="0"/>
      <w:sz w:val="24"/>
      <w:szCs w:val="24"/>
    </w:rPr>
  </w:style>
  <w:style w:type="paragraph" w:customStyle="1" w:styleId="80">
    <w:name w:val="xl81"/>
    <w:basedOn w:val="1"/>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81">
    <w:name w:val="xl82"/>
    <w:basedOn w:val="1"/>
    <w:qFormat/>
    <w:uiPriority w:val="0"/>
    <w:pPr>
      <w:widowControl/>
      <w:shd w:val="clear" w:color="000000" w:fill="ED7D31"/>
      <w:spacing w:before="100" w:beforeAutospacing="1" w:after="100" w:afterAutospacing="1"/>
      <w:jc w:val="left"/>
    </w:pPr>
    <w:rPr>
      <w:rFonts w:ascii="宋体" w:hAnsi="宋体" w:eastAsia="宋体" w:cs="宋体"/>
      <w:color w:val="FF0000"/>
      <w:kern w:val="0"/>
      <w:sz w:val="24"/>
      <w:szCs w:val="24"/>
    </w:rPr>
  </w:style>
  <w:style w:type="paragraph" w:customStyle="1" w:styleId="82">
    <w:name w:val="xl83"/>
    <w:basedOn w:val="1"/>
    <w:qFormat/>
    <w:uiPriority w:val="0"/>
    <w:pPr>
      <w:widowControl/>
      <w:spacing w:before="100" w:beforeAutospacing="1" w:after="100" w:afterAutospacing="1"/>
      <w:jc w:val="left"/>
    </w:pPr>
    <w:rPr>
      <w:rFonts w:ascii="宋体" w:hAnsi="宋体" w:eastAsia="宋体" w:cs="宋体"/>
      <w:color w:val="00B050"/>
      <w:kern w:val="0"/>
      <w:sz w:val="24"/>
      <w:szCs w:val="24"/>
    </w:rPr>
  </w:style>
  <w:style w:type="paragraph" w:customStyle="1" w:styleId="83">
    <w:name w:val="xl84"/>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84">
    <w:name w:val="xl85"/>
    <w:basedOn w:val="1"/>
    <w:qFormat/>
    <w:uiPriority w:val="0"/>
    <w:pPr>
      <w:widowControl/>
      <w:spacing w:before="100" w:beforeAutospacing="1" w:after="100" w:afterAutospacing="1"/>
      <w:jc w:val="left"/>
      <w:textAlignment w:val="bottom"/>
    </w:pPr>
    <w:rPr>
      <w:rFonts w:ascii="宋体" w:hAnsi="宋体" w:eastAsia="宋体" w:cs="宋体"/>
      <w:kern w:val="0"/>
      <w:sz w:val="24"/>
      <w:szCs w:val="24"/>
    </w:rPr>
  </w:style>
  <w:style w:type="paragraph" w:customStyle="1" w:styleId="85">
    <w:name w:val="xl86"/>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86">
    <w:name w:val="xl87"/>
    <w:basedOn w:val="1"/>
    <w:qFormat/>
    <w:uiPriority w:val="0"/>
    <w:pPr>
      <w:widowControl/>
      <w:spacing w:before="100" w:beforeAutospacing="1" w:after="100" w:afterAutospacing="1"/>
      <w:jc w:val="left"/>
      <w:textAlignment w:val="bottom"/>
    </w:pPr>
    <w:rPr>
      <w:rFonts w:ascii="宋体" w:hAnsi="宋体" w:eastAsia="宋体" w:cs="宋体"/>
      <w:kern w:val="0"/>
      <w:sz w:val="22"/>
    </w:rPr>
  </w:style>
  <w:style w:type="paragraph" w:customStyle="1" w:styleId="87">
    <w:name w:val="xl88"/>
    <w:basedOn w:val="1"/>
    <w:qFormat/>
    <w:uiPriority w:val="0"/>
    <w:pPr>
      <w:widowControl/>
      <w:spacing w:before="100" w:beforeAutospacing="1" w:after="100" w:afterAutospacing="1"/>
      <w:jc w:val="left"/>
    </w:pPr>
    <w:rPr>
      <w:rFonts w:ascii="Times New Roman" w:hAnsi="Times New Roman" w:eastAsia="宋体" w:cs="Times New Roman"/>
      <w:kern w:val="0"/>
      <w:sz w:val="32"/>
      <w:szCs w:val="32"/>
    </w:rPr>
  </w:style>
  <w:style w:type="paragraph" w:customStyle="1" w:styleId="88">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2"/>
    </w:rPr>
  </w:style>
  <w:style w:type="paragraph" w:customStyle="1" w:styleId="8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2"/>
    </w:rPr>
  </w:style>
  <w:style w:type="paragraph" w:customStyle="1" w:styleId="9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2"/>
    </w:rPr>
  </w:style>
  <w:style w:type="paragraph" w:customStyle="1" w:styleId="91">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2"/>
    </w:rPr>
  </w:style>
  <w:style w:type="paragraph" w:customStyle="1" w:styleId="92">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2"/>
    </w:rPr>
  </w:style>
  <w:style w:type="paragraph" w:customStyle="1" w:styleId="93">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2"/>
    </w:rPr>
  </w:style>
  <w:style w:type="paragraph" w:customStyle="1" w:styleId="94">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2"/>
    </w:rPr>
  </w:style>
  <w:style w:type="paragraph" w:customStyle="1" w:styleId="95">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2"/>
    </w:rPr>
  </w:style>
  <w:style w:type="paragraph" w:customStyle="1" w:styleId="96">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2"/>
    </w:rPr>
  </w:style>
  <w:style w:type="paragraph" w:customStyle="1" w:styleId="9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2"/>
    </w:rPr>
  </w:style>
  <w:style w:type="paragraph" w:customStyle="1" w:styleId="98">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2"/>
    </w:rPr>
  </w:style>
  <w:style w:type="paragraph" w:customStyle="1" w:styleId="99">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2"/>
    </w:rPr>
  </w:style>
  <w:style w:type="paragraph" w:customStyle="1" w:styleId="100">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2"/>
    </w:rPr>
  </w:style>
  <w:style w:type="paragraph" w:customStyle="1" w:styleId="101">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2"/>
    </w:rPr>
  </w:style>
  <w:style w:type="paragraph" w:customStyle="1" w:styleId="102">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2"/>
    </w:rPr>
  </w:style>
  <w:style w:type="paragraph" w:customStyle="1" w:styleId="103">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2"/>
    </w:rPr>
  </w:style>
  <w:style w:type="paragraph" w:customStyle="1" w:styleId="104">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2"/>
    </w:rPr>
  </w:style>
  <w:style w:type="paragraph" w:customStyle="1" w:styleId="105">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2"/>
    </w:rPr>
  </w:style>
  <w:style w:type="paragraph" w:customStyle="1" w:styleId="106">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2"/>
    </w:rPr>
  </w:style>
  <w:style w:type="paragraph" w:customStyle="1" w:styleId="107">
    <w:name w:val="xl10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Times New Roman" w:hAnsi="Times New Roman" w:eastAsia="宋体" w:cs="Times New Roman"/>
      <w:kern w:val="0"/>
      <w:sz w:val="22"/>
    </w:rPr>
  </w:style>
  <w:style w:type="paragraph" w:customStyle="1" w:styleId="108">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2"/>
    </w:rPr>
  </w:style>
  <w:style w:type="paragraph" w:customStyle="1" w:styleId="109">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2"/>
    </w:rPr>
  </w:style>
  <w:style w:type="paragraph" w:customStyle="1" w:styleId="110">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2"/>
    </w:rPr>
  </w:style>
  <w:style w:type="paragraph" w:customStyle="1" w:styleId="111">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2"/>
    </w:rPr>
  </w:style>
  <w:style w:type="paragraph" w:customStyle="1" w:styleId="112">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2"/>
    </w:rPr>
  </w:style>
  <w:style w:type="paragraph" w:customStyle="1" w:styleId="113">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2"/>
    </w:rPr>
  </w:style>
  <w:style w:type="paragraph" w:customStyle="1" w:styleId="114">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15">
    <w:name w:val="xl116"/>
    <w:basedOn w:val="1"/>
    <w:qFormat/>
    <w:uiPriority w:val="0"/>
    <w:pPr>
      <w:widowControl/>
      <w:pBdr>
        <w:top w:val="single" w:color="auto" w:sz="4" w:space="0"/>
        <w:bottom w:val="single" w:color="auto" w:sz="4" w:space="0"/>
      </w:pBdr>
      <w:spacing w:before="100" w:beforeAutospacing="1" w:after="100" w:afterAutospacing="1"/>
      <w:jc w:val="center"/>
    </w:pPr>
    <w:rPr>
      <w:rFonts w:ascii="仿宋_GB2312" w:hAnsi="宋体" w:eastAsia="仿宋_GB2312" w:cs="宋体"/>
      <w:kern w:val="0"/>
      <w:sz w:val="22"/>
    </w:rPr>
  </w:style>
  <w:style w:type="paragraph" w:customStyle="1" w:styleId="116">
    <w:name w:val="xl11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2"/>
    </w:rPr>
  </w:style>
  <w:style w:type="paragraph" w:customStyle="1" w:styleId="117">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2"/>
    </w:rPr>
  </w:style>
  <w:style w:type="paragraph" w:customStyle="1" w:styleId="118">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119">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120">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21">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2"/>
    </w:rPr>
  </w:style>
  <w:style w:type="paragraph" w:customStyle="1" w:styleId="122">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2"/>
    </w:rPr>
  </w:style>
  <w:style w:type="paragraph" w:customStyle="1" w:styleId="123">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2"/>
    </w:rPr>
  </w:style>
  <w:style w:type="paragraph" w:customStyle="1" w:styleId="124">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2"/>
    </w:rPr>
  </w:style>
  <w:style w:type="paragraph" w:customStyle="1" w:styleId="12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2"/>
    </w:rPr>
  </w:style>
  <w:style w:type="paragraph" w:customStyle="1" w:styleId="126">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2"/>
    </w:rPr>
  </w:style>
  <w:style w:type="paragraph" w:customStyle="1" w:styleId="127">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2"/>
    </w:rPr>
  </w:style>
  <w:style w:type="paragraph" w:customStyle="1" w:styleId="128">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仿宋_GB2312" w:hAnsi="宋体" w:eastAsia="仿宋_GB2312" w:cs="宋体"/>
      <w:kern w:val="0"/>
      <w:sz w:val="22"/>
    </w:rPr>
  </w:style>
  <w:style w:type="paragraph" w:customStyle="1" w:styleId="129">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2"/>
    </w:rPr>
  </w:style>
  <w:style w:type="paragraph" w:customStyle="1" w:styleId="130">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2"/>
    </w:rPr>
  </w:style>
  <w:style w:type="paragraph" w:customStyle="1" w:styleId="13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2"/>
    </w:rPr>
  </w:style>
  <w:style w:type="paragraph" w:customStyle="1" w:styleId="132">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2"/>
    </w:rPr>
  </w:style>
  <w:style w:type="paragraph" w:customStyle="1" w:styleId="133">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2"/>
    </w:rPr>
  </w:style>
  <w:style w:type="paragraph" w:customStyle="1" w:styleId="134">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2"/>
    </w:rPr>
  </w:style>
  <w:style w:type="paragraph" w:customStyle="1" w:styleId="135">
    <w:name w:val="xl13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36">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37">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2"/>
    </w:rPr>
  </w:style>
  <w:style w:type="paragraph" w:customStyle="1" w:styleId="138">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2"/>
    </w:rPr>
  </w:style>
  <w:style w:type="paragraph" w:customStyle="1" w:styleId="139">
    <w:name w:val="xl14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2"/>
    </w:rPr>
  </w:style>
  <w:style w:type="paragraph" w:customStyle="1" w:styleId="140">
    <w:name w:val="xl1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eastAsia="仿宋_GB2312" w:cs="宋体"/>
      <w:kern w:val="0"/>
      <w:sz w:val="22"/>
    </w:rPr>
  </w:style>
  <w:style w:type="paragraph" w:customStyle="1" w:styleId="141">
    <w:name w:val="xl14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eastAsia="仿宋_GB2312" w:cs="宋体"/>
      <w:kern w:val="0"/>
      <w:sz w:val="22"/>
    </w:rPr>
  </w:style>
  <w:style w:type="paragraph" w:customStyle="1" w:styleId="142">
    <w:name w:val="xl14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eastAsia="仿宋_GB2312" w:cs="宋体"/>
      <w:kern w:val="0"/>
      <w:sz w:val="22"/>
    </w:rPr>
  </w:style>
  <w:style w:type="paragraph" w:customStyle="1" w:styleId="143">
    <w:name w:val="xl1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2"/>
    </w:rPr>
  </w:style>
  <w:style w:type="paragraph" w:customStyle="1" w:styleId="144">
    <w:name w:val="xl1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2"/>
    </w:rPr>
  </w:style>
  <w:style w:type="paragraph" w:customStyle="1" w:styleId="145">
    <w:name w:val="xl14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2"/>
    </w:rPr>
  </w:style>
  <w:style w:type="paragraph" w:customStyle="1" w:styleId="146">
    <w:name w:val="xl1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2"/>
    </w:rPr>
  </w:style>
  <w:style w:type="paragraph" w:customStyle="1" w:styleId="147">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2"/>
    </w:rPr>
  </w:style>
  <w:style w:type="paragraph" w:customStyle="1" w:styleId="148">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2"/>
    </w:rPr>
  </w:style>
  <w:style w:type="paragraph" w:customStyle="1" w:styleId="149">
    <w:name w:val="xl150"/>
    <w:basedOn w:val="1"/>
    <w:qFormat/>
    <w:uiPriority w:val="0"/>
    <w:pPr>
      <w:widowControl/>
      <w:spacing w:before="100" w:beforeAutospacing="1" w:after="100" w:afterAutospacing="1"/>
      <w:jc w:val="center"/>
    </w:pPr>
    <w:rPr>
      <w:rFonts w:ascii="方正仿宋简体" w:hAnsi="宋体" w:eastAsia="方正仿宋简体" w:cs="宋体"/>
      <w:kern w:val="0"/>
      <w:sz w:val="18"/>
      <w:szCs w:val="18"/>
    </w:rPr>
  </w:style>
  <w:style w:type="paragraph" w:customStyle="1" w:styleId="150">
    <w:name w:val="xl151"/>
    <w:basedOn w:val="1"/>
    <w:qFormat/>
    <w:uiPriority w:val="0"/>
    <w:pPr>
      <w:widowControl/>
      <w:spacing w:before="100" w:beforeAutospacing="1" w:after="100" w:afterAutospacing="1"/>
      <w:jc w:val="left"/>
      <w:textAlignment w:val="bottom"/>
    </w:pPr>
    <w:rPr>
      <w:rFonts w:ascii="宋体" w:hAnsi="宋体" w:eastAsia="宋体" w:cs="宋体"/>
      <w:color w:val="000000"/>
      <w:kern w:val="0"/>
      <w:sz w:val="22"/>
    </w:rPr>
  </w:style>
  <w:style w:type="paragraph" w:customStyle="1" w:styleId="151">
    <w:name w:val="xl152"/>
    <w:basedOn w:val="1"/>
    <w:qFormat/>
    <w:uiPriority w:val="0"/>
    <w:pPr>
      <w:widowControl/>
      <w:shd w:val="clear" w:color="000000" w:fill="FFFF00"/>
      <w:spacing w:before="100" w:beforeAutospacing="1" w:after="100" w:afterAutospacing="1"/>
      <w:jc w:val="left"/>
    </w:pPr>
    <w:rPr>
      <w:rFonts w:ascii="宋体" w:hAnsi="宋体" w:eastAsia="宋体" w:cs="宋体"/>
      <w:kern w:val="0"/>
      <w:sz w:val="24"/>
      <w:szCs w:val="24"/>
    </w:rPr>
  </w:style>
  <w:style w:type="paragraph" w:customStyle="1" w:styleId="152">
    <w:name w:val="xl153"/>
    <w:basedOn w:val="1"/>
    <w:qFormat/>
    <w:uiPriority w:val="0"/>
    <w:pPr>
      <w:widowControl/>
      <w:shd w:val="clear" w:color="000000" w:fill="C6E0B4"/>
      <w:spacing w:before="100" w:beforeAutospacing="1" w:after="100" w:afterAutospacing="1"/>
      <w:jc w:val="left"/>
    </w:pPr>
    <w:rPr>
      <w:rFonts w:ascii="宋体" w:hAnsi="宋体" w:eastAsia="宋体" w:cs="宋体"/>
      <w:kern w:val="0"/>
      <w:sz w:val="24"/>
      <w:szCs w:val="24"/>
    </w:rPr>
  </w:style>
  <w:style w:type="paragraph" w:customStyle="1" w:styleId="153">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2"/>
    </w:rPr>
  </w:style>
  <w:style w:type="paragraph" w:customStyle="1" w:styleId="154">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18"/>
      <w:szCs w:val="18"/>
    </w:rPr>
  </w:style>
  <w:style w:type="paragraph" w:customStyle="1" w:styleId="155">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18"/>
      <w:szCs w:val="18"/>
    </w:rPr>
  </w:style>
  <w:style w:type="paragraph" w:customStyle="1" w:styleId="156">
    <w:name w:val="xl157"/>
    <w:basedOn w:val="1"/>
    <w:qFormat/>
    <w:uiPriority w:val="0"/>
    <w:pPr>
      <w:widowControl/>
      <w:shd w:val="clear" w:color="000000" w:fill="FFC7CE"/>
      <w:spacing w:before="100" w:beforeAutospacing="1" w:after="100" w:afterAutospacing="1"/>
      <w:jc w:val="left"/>
    </w:pPr>
    <w:rPr>
      <w:rFonts w:ascii="宋体" w:hAnsi="宋体" w:eastAsia="宋体" w:cs="宋体"/>
      <w:color w:val="9C0006"/>
      <w:kern w:val="0"/>
      <w:sz w:val="22"/>
    </w:rPr>
  </w:style>
  <w:style w:type="paragraph" w:customStyle="1" w:styleId="157">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2"/>
    </w:rPr>
  </w:style>
  <w:style w:type="paragraph" w:customStyle="1" w:styleId="158">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9C0006"/>
      <w:kern w:val="0"/>
      <w:sz w:val="22"/>
    </w:rPr>
  </w:style>
  <w:style w:type="paragraph" w:customStyle="1" w:styleId="159">
    <w:name w:val="xl16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9C0006"/>
      <w:kern w:val="0"/>
      <w:sz w:val="22"/>
    </w:rPr>
  </w:style>
  <w:style w:type="paragraph" w:customStyle="1" w:styleId="160">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9C0006"/>
      <w:kern w:val="0"/>
      <w:sz w:val="22"/>
    </w:rPr>
  </w:style>
  <w:style w:type="paragraph" w:customStyle="1" w:styleId="161">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9C0006"/>
      <w:kern w:val="0"/>
      <w:sz w:val="22"/>
    </w:rPr>
  </w:style>
  <w:style w:type="paragraph" w:customStyle="1" w:styleId="162">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9C0006"/>
      <w:kern w:val="0"/>
      <w:sz w:val="22"/>
    </w:rPr>
  </w:style>
  <w:style w:type="paragraph" w:customStyle="1" w:styleId="163">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9C0006"/>
      <w:kern w:val="0"/>
      <w:sz w:val="22"/>
    </w:rPr>
  </w:style>
  <w:style w:type="paragraph" w:customStyle="1" w:styleId="164">
    <w:name w:val="font10"/>
    <w:basedOn w:val="1"/>
    <w:qFormat/>
    <w:uiPriority w:val="0"/>
    <w:pPr>
      <w:widowControl/>
      <w:spacing w:before="100" w:beforeAutospacing="1" w:after="100" w:afterAutospacing="1"/>
      <w:jc w:val="left"/>
    </w:pPr>
    <w:rPr>
      <w:rFonts w:ascii="仿宋_GB2312" w:hAnsi="宋体" w:eastAsia="仿宋_GB2312" w:cs="宋体"/>
      <w:b/>
      <w:bCs/>
      <w:color w:val="000000"/>
      <w:kern w:val="0"/>
      <w:sz w:val="22"/>
    </w:rPr>
  </w:style>
  <w:style w:type="paragraph" w:customStyle="1" w:styleId="165">
    <w:name w:val="font12"/>
    <w:basedOn w:val="1"/>
    <w:qFormat/>
    <w:uiPriority w:val="0"/>
    <w:pPr>
      <w:widowControl/>
      <w:spacing w:before="100" w:beforeAutospacing="1" w:after="100" w:afterAutospacing="1"/>
      <w:jc w:val="left"/>
    </w:pPr>
    <w:rPr>
      <w:rFonts w:ascii="Times New Roman" w:hAnsi="Times New Roman" w:eastAsia="宋体" w:cs="Times New Roman"/>
      <w:color w:val="000000"/>
      <w:kern w:val="0"/>
      <w:sz w:val="18"/>
      <w:szCs w:val="18"/>
    </w:rPr>
  </w:style>
  <w:style w:type="paragraph" w:customStyle="1" w:styleId="166">
    <w:name w:val="font13"/>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67">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168">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69">
    <w:name w:val="font171"/>
    <w:basedOn w:val="28"/>
    <w:qFormat/>
    <w:uiPriority w:val="0"/>
    <w:rPr>
      <w:rFonts w:hint="default" w:ascii="Times New Roman" w:hAnsi="Times New Roman" w:cs="Times New Roman"/>
      <w:color w:val="000000"/>
      <w:sz w:val="22"/>
      <w:szCs w:val="22"/>
      <w:u w:val="none"/>
    </w:rPr>
  </w:style>
  <w:style w:type="character" w:customStyle="1" w:styleId="170">
    <w:name w:val="font181"/>
    <w:basedOn w:val="28"/>
    <w:qFormat/>
    <w:uiPriority w:val="0"/>
    <w:rPr>
      <w:rFonts w:hint="eastAsia" w:ascii="宋体" w:hAnsi="宋体" w:eastAsia="宋体" w:cs="宋体"/>
      <w:color w:val="000000"/>
      <w:sz w:val="22"/>
      <w:szCs w:val="22"/>
      <w:u w:val="none"/>
    </w:rPr>
  </w:style>
  <w:style w:type="character" w:customStyle="1" w:styleId="171">
    <w:name w:val="font151"/>
    <w:basedOn w:val="28"/>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E77580-FDE2-4C72-B45D-2BBA784CCE70}">
  <ds:schemaRefs/>
</ds:datastoreItem>
</file>

<file path=docProps/app.xml><?xml version="1.0" encoding="utf-8"?>
<Properties xmlns="http://schemas.openxmlformats.org/officeDocument/2006/extended-properties" xmlns:vt="http://schemas.openxmlformats.org/officeDocument/2006/docPropsVTypes">
  <Template>Normal</Template>
  <Company>HP</Company>
  <Pages>233</Pages>
  <Words>8157</Words>
  <Characters>8505</Characters>
  <Lines>1078</Lines>
  <Paragraphs>303</Paragraphs>
  <TotalTime>3</TotalTime>
  <ScaleCrop>false</ScaleCrop>
  <LinksUpToDate>false</LinksUpToDate>
  <CharactersWithSpaces>8870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2023-07-24T03:57:00Z</dcterms:created>
  <dc:creator>师 子乾</dc:creator>
  <cp:lastModifiedBy>康佳意</cp:lastModifiedBy>
  <cp:lastPrinted>2021-09-17T06:18:00Z</cp:lastPrinted>
  <dcterms:modified xsi:type="dcterms:W3CDTF">2025-04-10T06:44:14Z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0782AA0B1D1042A4A9E2F34F90775316</vt:lpwstr>
  </property>
</Properties>
</file>