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eastAsia" w:ascii="方正魏碑简体" w:eastAsia="方正魏碑简体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pacing w:val="0"/>
          <w:w w:val="80"/>
          <w:sz w:val="144"/>
          <w:szCs w:val="144"/>
        </w:rPr>
        <w:t>大姚民政简报</w:t>
      </w:r>
    </w:p>
    <w:p>
      <w:pPr>
        <w:spacing w:line="520" w:lineRule="exact"/>
        <w:jc w:val="both"/>
        <w:rPr>
          <w:rFonts w:hint="eastAsia" w:ascii="方正魏碑简体" w:eastAsia="方正魏碑简体"/>
          <w:color w:val="FF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期</w:t>
      </w:r>
    </w:p>
    <w:p>
      <w:pPr>
        <w:spacing w:line="520" w:lineRule="exact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大姚县民政局办公室编印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    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魏碑_GBK" w:eastAsia="方正魏碑_GBK"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127000</wp:posOffset>
                </wp:positionV>
                <wp:extent cx="5544820" cy="3810"/>
                <wp:effectExtent l="0" t="26670" r="2540" b="304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4820" cy="381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10pt;height:0.3pt;width:436.6pt;z-index:251671552;mso-width-relative:page;mso-height-relative:page;" filled="f" stroked="t" coordsize="21600,21600" o:gfxdata="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LWlF1wAAAAgBAAAPAAAAAAAAAAEAIAAAACIAAABkcnMvZG93bnJldi54bWxQSwECFAAU&#10;AAAACACHTuJAB8gY+fIBAAC4AwAADgAAAAAAAAABACAAAAAmAQAAZHJzL2Uyb0RvYy54bWxQSwUG&#10;AAAAAAYABgBZAQAAigUAAAAA&#10;">
                <v:fill on="f" focussize="0,0"/>
                <v:stroke weight="4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大姚县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打通“监督末梢”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规范小微权力运行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今年以来，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大姚县</w:t>
      </w:r>
      <w:r>
        <w:rPr>
          <w:rFonts w:hint="eastAsia" w:ascii="仿宋_GB2312" w:hAnsi="仿宋" w:eastAsia="仿宋_GB2312" w:cs="仿宋_GB2312"/>
          <w:sz w:val="32"/>
          <w:szCs w:val="32"/>
        </w:rPr>
        <w:t>进一步深化基层治理、规范村级事务管理、构建村级“小微权力”闭环监督机制，巩固基层治理基础，持续净化农村政治生态，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_GB2312"/>
          <w:sz w:val="32"/>
          <w:szCs w:val="32"/>
        </w:rPr>
        <w:t>实施乡村振兴战略提供坚强保障。在落实农村党风廉政建设中，以规范村级权力运行为落脚点，出台《大姚县关于规范村级“小微权力”的实施意见》，逐渐在全县各村推行小微权力清单制度，并坚持在实践中创新提升，从村级重大决策事项、村级采购事项、村级财务管理事项等9个层面，梳理规范村级小微权力事项23项，并制定办事流程图，实现了村级权力事项的清单化、明晰化，解决了村级职权不清的问题，有效提升了乡村治理法治化水平，为实施乡村振兴战略提供了有力支撑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自规范小微权力运行以来，全县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129个</w:t>
      </w:r>
      <w:r>
        <w:rPr>
          <w:rFonts w:hint="eastAsia" w:ascii="仿宋_GB2312" w:hAnsi="仿宋" w:eastAsia="仿宋_GB2312" w:cs="仿宋_GB2312"/>
          <w:sz w:val="32"/>
          <w:szCs w:val="32"/>
        </w:rPr>
        <w:t>村（社区）稳步推进小微权力清单制度，打通了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基层</w:t>
      </w:r>
      <w:r>
        <w:rPr>
          <w:rFonts w:hint="eastAsia" w:ascii="仿宋_GB2312" w:hAnsi="仿宋" w:eastAsia="仿宋_GB2312" w:cs="仿宋_GB2312"/>
          <w:sz w:val="32"/>
          <w:szCs w:val="32"/>
        </w:rPr>
        <w:t>“监督末梢”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从源头上把基层权力关进“笼子”。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强化组织领导和责任分工。为深入推进村级小微权力清单制度的落地实施，明确了村级组织是实施主体，村党总支书记是第一责任人，乡镇是责任主体，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" w:eastAsia="仿宋_GB2312" w:cs="仿宋_GB2312"/>
          <w:sz w:val="32"/>
          <w:szCs w:val="32"/>
        </w:rPr>
        <w:t>镇党委书记是直接责任人，真正做到有人问、有人抓、有人管，确保县、乡（镇）、村（社区）“三级联抓”配合机制见成效。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强化工作创新和宣传引导。按照积极推进“最多跑一次”向基层延伸的工作要求，各乡镇和各村（社区）结合本地实际，在设置特色清单的基础上，积极创新工作思路，不断推进村级小微权力清单制度标准化建设、规范化运行、便利化操作。在具体实践中，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三资管理“三打包制度”、村级便民服务中心“一窗受理、集成服务”改革等均成效明显，形成了一定的品牌。同时，不断强化廉政文化的浸润作用，结合“清廉大姚”建设，继而推进“清廉村居”建设，在全面公开权力清单，进一步推进农村基层权力透明化的基础上，积极开展各种阵地建设，清廉文化和乡风文明建设氛围日渐浓厚。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强化监督检查和监督追责。坚持问题为导向，认真组织开展全方位的监督检查。一方面，积极开展小微权力专项检查。县民政局牵头，开展对小微权力清单制度落实情况的监督检查，切实推进小微权力运行标准化体系建立。另一方面，积极开展围绕群众身边“四风”和腐败问题监督检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加大纪律审查和惩治力度，深入查摆，发现一个查处一个，集中整治、严肃惩处，有效解决了一批群众反映强烈的突出问题，让群众看到我们对腐败“零容忍”的态度。</w:t>
      </w:r>
    </w:p>
    <w:p>
      <w:pPr>
        <w:ind w:firstLine="320" w:firstLineChars="1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（撰稿：大姚县民政局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黎兆梅    审稿：陈飞飞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B5DC1"/>
    <w:rsid w:val="01247F87"/>
    <w:rsid w:val="07726551"/>
    <w:rsid w:val="16257B3C"/>
    <w:rsid w:val="28647D48"/>
    <w:rsid w:val="2A0D3362"/>
    <w:rsid w:val="34032DE9"/>
    <w:rsid w:val="3B537CDC"/>
    <w:rsid w:val="3C821362"/>
    <w:rsid w:val="52FE45AB"/>
    <w:rsid w:val="552A0DBB"/>
    <w:rsid w:val="5C5B5DC1"/>
    <w:rsid w:val="62515501"/>
    <w:rsid w:val="687B3483"/>
    <w:rsid w:val="7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2021-10-29T07:49:00Z</dcterms:created>
  <dc:creator>erie爱</dc:creator>
  <cp:lastModifiedBy>阿开芳</cp:lastModifiedBy>
  <dcterms:modified xsi:type="dcterms:W3CDTF">2021-10-29T08:20:26Z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